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36D7" w:rsidRPr="007936D7" w:rsidRDefault="007936D7" w:rsidP="007936D7">
      <w:pPr>
        <w:widowControl/>
        <w:ind w:hanging="200"/>
        <w:jc w:val="left"/>
        <w:rPr>
          <w:rFonts w:ascii="PingFang SC" w:eastAsia="PingFang SC" w:hAnsi="PingFang SC" w:cs="宋体"/>
          <w:color w:val="000000"/>
          <w:kern w:val="0"/>
          <w:sz w:val="27"/>
          <w:szCs w:val="27"/>
        </w:rPr>
      </w:pPr>
      <w:r w:rsidRPr="007936D7">
        <w:rPr>
          <w:rFonts w:ascii="PingFang SC" w:eastAsia="PingFang SC" w:hAnsi="PingFang SC" w:cs="宋体" w:hint="eastAsia"/>
          <w:color w:val="000000"/>
          <w:kern w:val="0"/>
          <w:sz w:val="27"/>
          <w:szCs w:val="27"/>
        </w:rPr>
        <w:t>神奈川県聴聞及び弁明の機会の付与に関する規則</w:t>
      </w:r>
    </w:p>
    <w:p w:rsidR="007936D7" w:rsidRPr="007936D7" w:rsidRDefault="007936D7" w:rsidP="007936D7">
      <w:pPr>
        <w:widowControl/>
        <w:spacing w:before="100" w:beforeAutospacing="1" w:after="100" w:afterAutospacing="1"/>
        <w:jc w:val="left"/>
        <w:rPr>
          <w:rFonts w:ascii="PingFang SC" w:eastAsia="PingFang SC" w:hAnsi="PingFang SC" w:cs="宋体" w:hint="eastAsia"/>
          <w:color w:val="000000"/>
          <w:kern w:val="0"/>
          <w:sz w:val="27"/>
          <w:szCs w:val="27"/>
        </w:rPr>
      </w:pPr>
      <w:bookmarkStart w:id="0" w:name="JUMP_SEQ_1"/>
      <w:bookmarkStart w:id="1" w:name="MOKUJI_2"/>
      <w:bookmarkEnd w:id="0"/>
      <w:bookmarkEnd w:id="1"/>
      <w:r w:rsidRPr="007936D7">
        <w:rPr>
          <w:rFonts w:ascii="PingFang SC" w:eastAsia="PingFang SC" w:hAnsi="PingFang SC" w:cs="宋体" w:hint="eastAsia"/>
          <w:color w:val="000000"/>
          <w:kern w:val="0"/>
          <w:sz w:val="27"/>
          <w:szCs w:val="27"/>
        </w:rPr>
        <w:t>平成６年９月30日</w:t>
      </w:r>
      <w:r w:rsidRPr="007936D7">
        <w:rPr>
          <w:rFonts w:ascii="PingFang SC" w:eastAsia="PingFang SC" w:hAnsi="PingFang SC" w:cs="宋体" w:hint="eastAsia"/>
          <w:color w:val="000000"/>
          <w:kern w:val="0"/>
          <w:sz w:val="27"/>
          <w:szCs w:val="27"/>
        </w:rPr>
        <w:br/>
        <w:t>規則第156号</w:t>
      </w:r>
    </w:p>
    <w:tbl>
      <w:tblPr>
        <w:tblW w:w="0" w:type="auto"/>
        <w:tblCellMar>
          <w:top w:w="15" w:type="dxa"/>
          <w:left w:w="15" w:type="dxa"/>
          <w:bottom w:w="15" w:type="dxa"/>
          <w:right w:w="15" w:type="dxa"/>
        </w:tblCellMar>
        <w:tblLook w:val="04A0" w:firstRow="1" w:lastRow="0" w:firstColumn="1" w:lastColumn="0" w:noHBand="0" w:noVBand="1"/>
      </w:tblPr>
      <w:tblGrid>
        <w:gridCol w:w="945"/>
        <w:gridCol w:w="3480"/>
        <w:gridCol w:w="3480"/>
      </w:tblGrid>
      <w:tr w:rsidR="007936D7" w:rsidRPr="007936D7" w:rsidTr="007936D7">
        <w:tc>
          <w:tcPr>
            <w:tcW w:w="945" w:type="dxa"/>
            <w:tcBorders>
              <w:left w:val="nil"/>
              <w:right w:val="nil"/>
            </w:tcBorders>
            <w:vAlign w:val="center"/>
            <w:hideMark/>
          </w:tcPr>
          <w:p w:rsidR="007936D7" w:rsidRPr="007936D7" w:rsidRDefault="007936D7" w:rsidP="007936D7">
            <w:pPr>
              <w:widowControl/>
              <w:jc w:val="left"/>
              <w:rPr>
                <w:rFonts w:ascii="PingFang SC" w:eastAsia="PingFang SC" w:hAnsi="PingFang SC" w:cs="宋体" w:hint="eastAsia"/>
                <w:color w:val="000000"/>
                <w:kern w:val="0"/>
                <w:sz w:val="27"/>
                <w:szCs w:val="27"/>
              </w:rPr>
            </w:pPr>
            <w:bookmarkStart w:id="2" w:name="JUMP_SEQ_2"/>
            <w:bookmarkStart w:id="3" w:name="MOKUJI_3"/>
            <w:bookmarkEnd w:id="2"/>
            <w:bookmarkEnd w:id="3"/>
          </w:p>
        </w:tc>
        <w:tc>
          <w:tcPr>
            <w:tcW w:w="3480" w:type="dxa"/>
            <w:tcBorders>
              <w:left w:val="nil"/>
              <w:right w:val="nil"/>
            </w:tcBorders>
            <w:vAlign w:val="center"/>
            <w:hideMark/>
          </w:tcPr>
          <w:p w:rsidR="007936D7" w:rsidRPr="007936D7" w:rsidRDefault="007936D7" w:rsidP="007936D7">
            <w:pPr>
              <w:widowControl/>
              <w:jc w:val="left"/>
              <w:rPr>
                <w:rFonts w:ascii="Times New Roman" w:eastAsia="Times New Roman" w:hAnsi="Times New Roman" w:cs="Times New Roman"/>
                <w:kern w:val="0"/>
                <w:sz w:val="20"/>
                <w:szCs w:val="20"/>
              </w:rPr>
            </w:pPr>
          </w:p>
        </w:tc>
        <w:tc>
          <w:tcPr>
            <w:tcW w:w="3480" w:type="dxa"/>
            <w:tcBorders>
              <w:left w:val="nil"/>
              <w:right w:val="nil"/>
            </w:tcBorders>
            <w:vAlign w:val="center"/>
            <w:hideMark/>
          </w:tcPr>
          <w:p w:rsidR="007936D7" w:rsidRPr="007936D7" w:rsidRDefault="007936D7" w:rsidP="007936D7">
            <w:pPr>
              <w:widowControl/>
              <w:jc w:val="left"/>
              <w:rPr>
                <w:rFonts w:ascii="Times New Roman" w:eastAsia="Times New Roman" w:hAnsi="Times New Roman" w:cs="Times New Roman"/>
                <w:kern w:val="0"/>
                <w:sz w:val="20"/>
                <w:szCs w:val="20"/>
              </w:rPr>
            </w:pPr>
          </w:p>
        </w:tc>
      </w:tr>
      <w:tr w:rsidR="007936D7" w:rsidRPr="007936D7" w:rsidTr="007936D7">
        <w:tc>
          <w:tcPr>
            <w:tcW w:w="945" w:type="dxa"/>
            <w:tcBorders>
              <w:top w:val="nil"/>
              <w:left w:val="nil"/>
              <w:bottom w:val="nil"/>
              <w:right w:val="nil"/>
            </w:tcBorders>
            <w:hideMark/>
          </w:tcPr>
          <w:p w:rsidR="007936D7" w:rsidRPr="007936D7" w:rsidRDefault="007936D7" w:rsidP="007936D7">
            <w:pPr>
              <w:widowControl/>
              <w:jc w:val="left"/>
              <w:rPr>
                <w:rFonts w:ascii="宋体" w:eastAsia="宋体" w:hAnsi="宋体" w:cs="宋体"/>
                <w:kern w:val="0"/>
                <w:sz w:val="24"/>
              </w:rPr>
            </w:pPr>
            <w:r w:rsidRPr="007936D7">
              <w:rPr>
                <w:rFonts w:ascii="宋体" w:eastAsia="宋体" w:hAnsi="宋体" w:cs="宋体"/>
                <w:kern w:val="0"/>
                <w:sz w:val="24"/>
              </w:rPr>
              <w:t>改正</w:t>
            </w:r>
          </w:p>
        </w:tc>
        <w:tc>
          <w:tcPr>
            <w:tcW w:w="3480" w:type="dxa"/>
            <w:tcBorders>
              <w:top w:val="nil"/>
              <w:left w:val="nil"/>
              <w:bottom w:val="nil"/>
              <w:right w:val="nil"/>
            </w:tcBorders>
            <w:hideMark/>
          </w:tcPr>
          <w:p w:rsidR="007936D7" w:rsidRPr="007936D7" w:rsidRDefault="007936D7" w:rsidP="007936D7">
            <w:pPr>
              <w:widowControl/>
              <w:spacing w:before="100" w:beforeAutospacing="1" w:after="100" w:afterAutospacing="1"/>
              <w:jc w:val="left"/>
              <w:rPr>
                <w:rFonts w:ascii="宋体" w:eastAsia="宋体" w:hAnsi="宋体" w:cs="宋体"/>
                <w:kern w:val="0"/>
                <w:sz w:val="24"/>
              </w:rPr>
            </w:pPr>
            <w:r w:rsidRPr="007936D7">
              <w:rPr>
                <w:rFonts w:ascii="宋体" w:eastAsia="宋体" w:hAnsi="宋体" w:cs="宋体"/>
                <w:kern w:val="0"/>
                <w:sz w:val="24"/>
              </w:rPr>
              <w:t>平成７年３月31日規則第47号</w:t>
            </w:r>
          </w:p>
        </w:tc>
        <w:tc>
          <w:tcPr>
            <w:tcW w:w="3480" w:type="dxa"/>
            <w:tcBorders>
              <w:top w:val="nil"/>
              <w:left w:val="nil"/>
              <w:bottom w:val="nil"/>
              <w:right w:val="nil"/>
            </w:tcBorders>
            <w:hideMark/>
          </w:tcPr>
          <w:p w:rsidR="007936D7" w:rsidRPr="007936D7" w:rsidRDefault="007936D7" w:rsidP="007936D7">
            <w:pPr>
              <w:widowControl/>
              <w:spacing w:before="100" w:beforeAutospacing="1" w:after="100" w:afterAutospacing="1"/>
              <w:jc w:val="left"/>
              <w:rPr>
                <w:rFonts w:ascii="宋体" w:eastAsia="宋体" w:hAnsi="宋体" w:cs="宋体"/>
                <w:kern w:val="0"/>
                <w:sz w:val="24"/>
              </w:rPr>
            </w:pPr>
            <w:r w:rsidRPr="007936D7">
              <w:rPr>
                <w:rFonts w:ascii="宋体" w:eastAsia="宋体" w:hAnsi="宋体" w:cs="宋体"/>
                <w:kern w:val="0"/>
                <w:sz w:val="24"/>
              </w:rPr>
              <w:t>令和３年９月28日規則第80号</w:t>
            </w:r>
          </w:p>
        </w:tc>
      </w:tr>
    </w:tbl>
    <w:p w:rsidR="007936D7" w:rsidRPr="007936D7" w:rsidRDefault="007936D7" w:rsidP="007936D7">
      <w:pPr>
        <w:widowControl/>
        <w:jc w:val="left"/>
        <w:rPr>
          <w:rFonts w:ascii="PingFang SC" w:eastAsia="PingFang SC" w:hAnsi="PingFang SC" w:cs="宋体"/>
          <w:color w:val="000000"/>
          <w:kern w:val="0"/>
          <w:sz w:val="27"/>
          <w:szCs w:val="27"/>
        </w:rPr>
      </w:pPr>
    </w:p>
    <w:p w:rsidR="007936D7" w:rsidRPr="007936D7" w:rsidRDefault="007936D7" w:rsidP="007936D7">
      <w:pPr>
        <w:widowControl/>
        <w:ind w:firstLine="200"/>
        <w:jc w:val="left"/>
        <w:rPr>
          <w:rFonts w:ascii="PingFang SC" w:eastAsia="PingFang SC" w:hAnsi="PingFang SC" w:cs="宋体" w:hint="eastAsia"/>
          <w:color w:val="000000"/>
          <w:kern w:val="0"/>
          <w:sz w:val="27"/>
          <w:szCs w:val="27"/>
        </w:rPr>
      </w:pPr>
      <w:bookmarkStart w:id="4" w:name="JUMP_SEQ_3"/>
      <w:bookmarkStart w:id="5" w:name="MOKUJI_4"/>
      <w:bookmarkEnd w:id="4"/>
      <w:bookmarkEnd w:id="5"/>
      <w:r w:rsidRPr="007936D7">
        <w:rPr>
          <w:rFonts w:ascii="PingFang SC" w:eastAsia="PingFang SC" w:hAnsi="PingFang SC" w:cs="宋体" w:hint="eastAsia"/>
          <w:color w:val="000000"/>
          <w:kern w:val="0"/>
          <w:sz w:val="27"/>
          <w:szCs w:val="27"/>
        </w:rPr>
        <w:t>神奈川県聴聞及び弁明の機会の付与に関する規則をここに公布する。</w:t>
      </w:r>
    </w:p>
    <w:p w:rsidR="007936D7" w:rsidRPr="007936D7" w:rsidRDefault="007936D7" w:rsidP="007936D7">
      <w:pPr>
        <w:widowControl/>
        <w:jc w:val="left"/>
        <w:rPr>
          <w:rFonts w:ascii="PingFang SC" w:eastAsia="PingFang SC" w:hAnsi="PingFang SC" w:cs="宋体" w:hint="eastAsia"/>
          <w:color w:val="000000"/>
          <w:kern w:val="0"/>
          <w:sz w:val="27"/>
          <w:szCs w:val="27"/>
        </w:rPr>
      </w:pPr>
      <w:bookmarkStart w:id="6" w:name="JUMP_SEQ_4"/>
      <w:bookmarkStart w:id="7" w:name="MOKUJI_5"/>
      <w:bookmarkEnd w:id="6"/>
      <w:bookmarkEnd w:id="7"/>
      <w:r w:rsidRPr="007936D7">
        <w:rPr>
          <w:rFonts w:ascii="PingFang SC" w:eastAsia="PingFang SC" w:hAnsi="PingFang SC" w:cs="宋体" w:hint="eastAsia"/>
          <w:color w:val="000000"/>
          <w:kern w:val="0"/>
          <w:sz w:val="27"/>
          <w:szCs w:val="27"/>
        </w:rPr>
        <w:t>神奈川県聴聞及び弁明の機会の付与に関する規則</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8" w:name="JUMP_SEQ_5"/>
      <w:bookmarkStart w:id="9" w:name="MOKUJI_6"/>
      <w:bookmarkStart w:id="10" w:name="JUMP_SEQ_6"/>
      <w:bookmarkStart w:id="11" w:name="MOKUJI_7"/>
      <w:bookmarkStart w:id="12" w:name="JUMP_JYO_1_0_0"/>
      <w:bookmarkEnd w:id="8"/>
      <w:bookmarkEnd w:id="9"/>
      <w:bookmarkEnd w:id="10"/>
      <w:bookmarkEnd w:id="11"/>
      <w:r w:rsidRPr="007936D7">
        <w:rPr>
          <w:rFonts w:ascii="PingFang SC" w:eastAsia="PingFang SC" w:hAnsi="PingFang SC" w:cs="宋体" w:hint="eastAsia"/>
          <w:color w:val="000000"/>
          <w:kern w:val="0"/>
          <w:sz w:val="27"/>
          <w:szCs w:val="27"/>
        </w:rPr>
        <w:t>（趣旨等）</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3" w:name="JUMP_SEQ_7"/>
      <w:bookmarkStart w:id="14" w:name="JUMP_KOU_1_0"/>
      <w:bookmarkEnd w:id="13"/>
      <w:r w:rsidRPr="007936D7">
        <w:rPr>
          <w:rFonts w:ascii="PingFang SC" w:eastAsia="PingFang SC" w:hAnsi="PingFang SC" w:cs="宋体" w:hint="eastAsia"/>
          <w:b/>
          <w:bCs/>
          <w:color w:val="000000"/>
          <w:kern w:val="0"/>
          <w:sz w:val="27"/>
          <w:szCs w:val="27"/>
        </w:rPr>
        <w:t>第１条</w:t>
      </w:r>
      <w:r w:rsidRPr="007936D7">
        <w:rPr>
          <w:rFonts w:ascii="PingFang SC" w:eastAsia="PingFang SC" w:hAnsi="PingFang SC" w:cs="宋体" w:hint="eastAsia"/>
          <w:color w:val="000000"/>
          <w:kern w:val="0"/>
          <w:sz w:val="27"/>
          <w:szCs w:val="27"/>
        </w:rPr>
        <w:t xml:space="preserve">　この規則は、行政手続法（平成５年法律第88号）第３章第２節及び第３節の規定による聴聞及び弁明の機会の付与に関する手続について、必要な事項を定めるものとする。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5" w:name="JUMP_SEQ_8"/>
      <w:bookmarkStart w:id="16" w:name="MOKUJI_8"/>
      <w:bookmarkStart w:id="17" w:name="JUMP_KOU_2_0"/>
      <w:bookmarkEnd w:id="12"/>
      <w:bookmarkEnd w:id="15"/>
      <w:bookmarkEnd w:id="16"/>
      <w:r w:rsidRPr="007936D7">
        <w:rPr>
          <w:rFonts w:ascii="PingFang SC" w:eastAsia="PingFang SC" w:hAnsi="PingFang SC" w:cs="宋体" w:hint="eastAsia"/>
          <w:color w:val="000000"/>
          <w:kern w:val="0"/>
          <w:sz w:val="27"/>
          <w:szCs w:val="27"/>
        </w:rPr>
        <w:t>２　聴聞及び弁明の機会の付与に関する手続に関しこの規則に規定する事項について、他の法令に特別の定めがある場合は、その定めるところによる。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8" w:name="JUMP_SEQ_9"/>
      <w:bookmarkStart w:id="19" w:name="MOKUJI_9"/>
      <w:bookmarkStart w:id="20" w:name="JUMP_JYO_2_0_0"/>
      <w:bookmarkEnd w:id="18"/>
      <w:bookmarkEnd w:id="19"/>
      <w:r w:rsidRPr="007936D7">
        <w:rPr>
          <w:rFonts w:ascii="PingFang SC" w:eastAsia="PingFang SC" w:hAnsi="PingFang SC" w:cs="宋体" w:hint="eastAsia"/>
          <w:color w:val="000000"/>
          <w:kern w:val="0"/>
          <w:sz w:val="27"/>
          <w:szCs w:val="27"/>
        </w:rPr>
        <w:t>（用語の定義）</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21" w:name="JUMP_SEQ_10"/>
      <w:bookmarkEnd w:id="20"/>
      <w:bookmarkEnd w:id="21"/>
      <w:r w:rsidRPr="007936D7">
        <w:rPr>
          <w:rFonts w:ascii="PingFang SC" w:eastAsia="PingFang SC" w:hAnsi="PingFang SC" w:cs="宋体" w:hint="eastAsia"/>
          <w:b/>
          <w:bCs/>
          <w:color w:val="000000"/>
          <w:kern w:val="0"/>
          <w:sz w:val="27"/>
          <w:szCs w:val="27"/>
        </w:rPr>
        <w:t>第２条</w:t>
      </w:r>
      <w:r w:rsidRPr="007936D7">
        <w:rPr>
          <w:rFonts w:ascii="PingFang SC" w:eastAsia="PingFang SC" w:hAnsi="PingFang SC" w:cs="宋体" w:hint="eastAsia"/>
          <w:color w:val="000000"/>
          <w:kern w:val="0"/>
          <w:sz w:val="27"/>
          <w:szCs w:val="27"/>
        </w:rPr>
        <w:t xml:space="preserve">　この規則における用語の定義は、行政手続法（以下「法」という。）の規定の例による。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22" w:name="JUMP_SEQ_11"/>
      <w:bookmarkStart w:id="23" w:name="MOKUJI_10"/>
      <w:bookmarkStart w:id="24" w:name="JUMP_JYO_3_0_0"/>
      <w:bookmarkEnd w:id="22"/>
      <w:bookmarkEnd w:id="23"/>
      <w:r w:rsidRPr="007936D7">
        <w:rPr>
          <w:rFonts w:ascii="PingFang SC" w:eastAsia="PingFang SC" w:hAnsi="PingFang SC" w:cs="宋体" w:hint="eastAsia"/>
          <w:color w:val="000000"/>
          <w:kern w:val="0"/>
          <w:sz w:val="27"/>
          <w:szCs w:val="27"/>
        </w:rPr>
        <w:t>（主宰者の指名）</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25" w:name="JUMP_SEQ_12"/>
      <w:bookmarkEnd w:id="25"/>
      <w:r w:rsidRPr="007936D7">
        <w:rPr>
          <w:rFonts w:ascii="PingFang SC" w:eastAsia="PingFang SC" w:hAnsi="PingFang SC" w:cs="宋体" w:hint="eastAsia"/>
          <w:b/>
          <w:bCs/>
          <w:color w:val="000000"/>
          <w:kern w:val="0"/>
          <w:sz w:val="27"/>
          <w:szCs w:val="27"/>
        </w:rPr>
        <w:t>第３条</w:t>
      </w:r>
      <w:r w:rsidRPr="007936D7">
        <w:rPr>
          <w:rFonts w:ascii="PingFang SC" w:eastAsia="PingFang SC" w:hAnsi="PingFang SC" w:cs="宋体" w:hint="eastAsia"/>
          <w:color w:val="000000"/>
          <w:kern w:val="0"/>
          <w:sz w:val="27"/>
          <w:szCs w:val="27"/>
        </w:rPr>
        <w:t xml:space="preserve">　行政庁（知事又は出先機関（神奈川県行政組織規則（昭和31年神奈川県規則第64号）第２条第３号に規定する出先機関をい</w:t>
      </w:r>
      <w:r w:rsidRPr="007936D7">
        <w:rPr>
          <w:rFonts w:ascii="PingFang SC" w:eastAsia="PingFang SC" w:hAnsi="PingFang SC" w:cs="宋体" w:hint="eastAsia"/>
          <w:color w:val="000000"/>
          <w:kern w:val="0"/>
          <w:sz w:val="27"/>
          <w:szCs w:val="27"/>
        </w:rPr>
        <w:lastRenderedPageBreak/>
        <w:t>う。）の長をいう。以下同じ。）は、当該行政庁の職員のうちから聴聞を主宰するについて必要な知識及び経験を有すると認められる者を主宰者として指名する。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26" w:name="JUMP_SEQ_13"/>
      <w:bookmarkStart w:id="27" w:name="MOKUJI_11"/>
      <w:bookmarkEnd w:id="26"/>
      <w:bookmarkEnd w:id="27"/>
      <w:r w:rsidRPr="007936D7">
        <w:rPr>
          <w:rFonts w:ascii="PingFang SC" w:eastAsia="PingFang SC" w:hAnsi="PingFang SC" w:cs="宋体" w:hint="eastAsia"/>
          <w:color w:val="000000"/>
          <w:kern w:val="0"/>
          <w:sz w:val="27"/>
          <w:szCs w:val="27"/>
        </w:rPr>
        <w:t>２　前項の指名は、聴聞の通知の時までに行うものとする。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28" w:name="JUMP_SEQ_14"/>
      <w:bookmarkStart w:id="29" w:name="MOKUJI_12"/>
      <w:bookmarkStart w:id="30" w:name="JUMP_KOU_3_0"/>
      <w:bookmarkEnd w:id="24"/>
      <w:bookmarkEnd w:id="28"/>
      <w:bookmarkEnd w:id="29"/>
      <w:r w:rsidRPr="007936D7">
        <w:rPr>
          <w:rFonts w:ascii="PingFang SC" w:eastAsia="PingFang SC" w:hAnsi="PingFang SC" w:cs="宋体" w:hint="eastAsia"/>
          <w:color w:val="000000"/>
          <w:kern w:val="0"/>
          <w:sz w:val="27"/>
          <w:szCs w:val="27"/>
        </w:rPr>
        <w:t>３　主宰者が法第19条第２項各号のいずれかに該当するに至ったときは、行政庁は、速やかに、新たな主宰者を指名しなければならない。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31" w:name="JUMP_SEQ_15"/>
      <w:bookmarkStart w:id="32" w:name="MOKUJI_13"/>
      <w:bookmarkStart w:id="33" w:name="JUMP_JYO_4_0_0"/>
      <w:bookmarkEnd w:id="31"/>
      <w:bookmarkEnd w:id="32"/>
      <w:r w:rsidRPr="007936D7">
        <w:rPr>
          <w:rFonts w:ascii="PingFang SC" w:eastAsia="PingFang SC" w:hAnsi="PingFang SC" w:cs="宋体" w:hint="eastAsia"/>
          <w:color w:val="000000"/>
          <w:kern w:val="0"/>
          <w:sz w:val="27"/>
          <w:szCs w:val="27"/>
        </w:rPr>
        <w:t>（聴聞の通知等）</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34" w:name="JUMP_SEQ_16"/>
      <w:bookmarkEnd w:id="34"/>
      <w:r w:rsidRPr="007936D7">
        <w:rPr>
          <w:rFonts w:ascii="PingFang SC" w:eastAsia="PingFang SC" w:hAnsi="PingFang SC" w:cs="宋体" w:hint="eastAsia"/>
          <w:b/>
          <w:bCs/>
          <w:color w:val="000000"/>
          <w:kern w:val="0"/>
          <w:sz w:val="27"/>
          <w:szCs w:val="27"/>
        </w:rPr>
        <w:t>第４条</w:t>
      </w:r>
      <w:r w:rsidRPr="007936D7">
        <w:rPr>
          <w:rFonts w:ascii="PingFang SC" w:eastAsia="PingFang SC" w:hAnsi="PingFang SC" w:cs="宋体" w:hint="eastAsia"/>
          <w:color w:val="000000"/>
          <w:kern w:val="0"/>
          <w:sz w:val="27"/>
          <w:szCs w:val="27"/>
        </w:rPr>
        <w:t xml:space="preserve">　法第15条第１項の規定による聴聞の通知については、行政庁は、聴聞の期日の７日前までに、これを行うものとする。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35" w:name="JUMP_SEQ_17"/>
      <w:bookmarkStart w:id="36" w:name="MOKUJI_14"/>
      <w:bookmarkEnd w:id="35"/>
      <w:bookmarkEnd w:id="36"/>
      <w:r w:rsidRPr="007936D7">
        <w:rPr>
          <w:rFonts w:ascii="PingFang SC" w:eastAsia="PingFang SC" w:hAnsi="PingFang SC" w:cs="宋体" w:hint="eastAsia"/>
          <w:color w:val="000000"/>
          <w:kern w:val="0"/>
          <w:sz w:val="27"/>
          <w:szCs w:val="27"/>
        </w:rPr>
        <w:t>２　当事者は、やむを得ない理由があるときは、前項の通知（法第15条第３項の規定による通知を含む。）による聴聞の期日の変更を行政庁に申し出ることができる。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37" w:name="JUMP_SEQ_18"/>
      <w:bookmarkStart w:id="38" w:name="MOKUJI_15"/>
      <w:bookmarkEnd w:id="37"/>
      <w:bookmarkEnd w:id="38"/>
      <w:r w:rsidRPr="007936D7">
        <w:rPr>
          <w:rFonts w:ascii="PingFang SC" w:eastAsia="PingFang SC" w:hAnsi="PingFang SC" w:cs="宋体" w:hint="eastAsia"/>
          <w:color w:val="000000"/>
          <w:kern w:val="0"/>
          <w:sz w:val="27"/>
          <w:szCs w:val="27"/>
        </w:rPr>
        <w:t>３　行政庁は、前項の申出又は職権により聴聞の期日を変更することができる。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39" w:name="JUMP_SEQ_19"/>
      <w:bookmarkStart w:id="40" w:name="MOKUJI_16"/>
      <w:bookmarkStart w:id="41" w:name="JUMP_KOU_4_0"/>
      <w:bookmarkEnd w:id="33"/>
      <w:bookmarkEnd w:id="39"/>
      <w:bookmarkEnd w:id="40"/>
      <w:r w:rsidRPr="007936D7">
        <w:rPr>
          <w:rFonts w:ascii="PingFang SC" w:eastAsia="PingFang SC" w:hAnsi="PingFang SC" w:cs="宋体" w:hint="eastAsia"/>
          <w:color w:val="000000"/>
          <w:kern w:val="0"/>
          <w:sz w:val="27"/>
          <w:szCs w:val="27"/>
        </w:rPr>
        <w:t>４　行政庁は、前項の規定により聴聞の期日を変更したときは、その旨を当事者及び参加人（その時までに法第17条第１項の規定による求めを受諾し、又は許可を受けた者に限る。第11条第２項において同じ。）に通知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42" w:name="JUMP_SEQ_20"/>
      <w:bookmarkStart w:id="43" w:name="MOKUJI_17"/>
      <w:bookmarkStart w:id="44" w:name="JUMP_JYO_5_0_0"/>
      <w:bookmarkEnd w:id="42"/>
      <w:bookmarkEnd w:id="43"/>
      <w:r w:rsidRPr="007936D7">
        <w:rPr>
          <w:rFonts w:ascii="PingFang SC" w:eastAsia="PingFang SC" w:hAnsi="PingFang SC" w:cs="宋体" w:hint="eastAsia"/>
          <w:color w:val="000000"/>
          <w:kern w:val="0"/>
          <w:sz w:val="27"/>
          <w:szCs w:val="27"/>
        </w:rPr>
        <w:t>（聴聞の公示）</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45" w:name="JUMP_SEQ_21"/>
      <w:bookmarkEnd w:id="45"/>
      <w:r w:rsidRPr="007936D7">
        <w:rPr>
          <w:rFonts w:ascii="PingFang SC" w:eastAsia="PingFang SC" w:hAnsi="PingFang SC" w:cs="宋体" w:hint="eastAsia"/>
          <w:b/>
          <w:bCs/>
          <w:color w:val="000000"/>
          <w:kern w:val="0"/>
          <w:sz w:val="27"/>
          <w:szCs w:val="27"/>
        </w:rPr>
        <w:t>第５条</w:t>
      </w:r>
      <w:r w:rsidRPr="007936D7">
        <w:rPr>
          <w:rFonts w:ascii="PingFang SC" w:eastAsia="PingFang SC" w:hAnsi="PingFang SC" w:cs="宋体" w:hint="eastAsia"/>
          <w:color w:val="000000"/>
          <w:kern w:val="0"/>
          <w:sz w:val="27"/>
          <w:szCs w:val="27"/>
        </w:rPr>
        <w:t xml:space="preserve">　行政庁は、聴聞を行おうとするときは、聴聞の期日の７日前までに、次に掲げる事項を公示するものとする。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46" w:name="JUMP_SEQ_22"/>
      <w:bookmarkStart w:id="47" w:name="JUMP_GOU_1_0_0"/>
      <w:bookmarkEnd w:id="46"/>
      <w:r w:rsidRPr="007936D7">
        <w:rPr>
          <w:rFonts w:ascii="PingFang SC" w:eastAsia="PingFang SC" w:hAnsi="PingFang SC" w:cs="宋体" w:hint="eastAsia"/>
          <w:color w:val="000000"/>
          <w:kern w:val="0"/>
          <w:sz w:val="27"/>
          <w:szCs w:val="27"/>
        </w:rPr>
        <w:lastRenderedPageBreak/>
        <w:t>(１)　聴聞の件名</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48" w:name="JUMP_SEQ_23"/>
      <w:bookmarkStart w:id="49" w:name="JUMP_GOU_2_0_0"/>
      <w:bookmarkEnd w:id="48"/>
      <w:r w:rsidRPr="007936D7">
        <w:rPr>
          <w:rFonts w:ascii="PingFang SC" w:eastAsia="PingFang SC" w:hAnsi="PingFang SC" w:cs="宋体" w:hint="eastAsia"/>
          <w:color w:val="000000"/>
          <w:kern w:val="0"/>
          <w:sz w:val="27"/>
          <w:szCs w:val="27"/>
        </w:rPr>
        <w:t>(２)　当事者の氏名及び住所（法人にあっては、名称及び代表者の氏名並びに事務所の所在地。以下同じ。）</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50" w:name="JUMP_SEQ_24"/>
      <w:bookmarkStart w:id="51" w:name="JUMP_GOU_3_0_0"/>
      <w:bookmarkEnd w:id="50"/>
      <w:r w:rsidRPr="007936D7">
        <w:rPr>
          <w:rFonts w:ascii="PingFang SC" w:eastAsia="PingFang SC" w:hAnsi="PingFang SC" w:cs="宋体" w:hint="eastAsia"/>
          <w:color w:val="000000"/>
          <w:kern w:val="0"/>
          <w:sz w:val="27"/>
          <w:szCs w:val="27"/>
        </w:rPr>
        <w:t>(３)　聴聞の期日及び場所</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52" w:name="JUMP_SEQ_25"/>
      <w:bookmarkStart w:id="53" w:name="MOKUJI_18"/>
      <w:bookmarkEnd w:id="52"/>
      <w:bookmarkEnd w:id="53"/>
      <w:r w:rsidRPr="007936D7">
        <w:rPr>
          <w:rFonts w:ascii="PingFang SC" w:eastAsia="PingFang SC" w:hAnsi="PingFang SC" w:cs="宋体" w:hint="eastAsia"/>
          <w:color w:val="000000"/>
          <w:kern w:val="0"/>
          <w:sz w:val="27"/>
          <w:szCs w:val="27"/>
        </w:rPr>
        <w:t>２　前項の規定による公示は、行政庁の事務所の掲示板に掲示して行うものとする。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54" w:name="JUMP_SEQ_26"/>
      <w:bookmarkStart w:id="55" w:name="MOKUJI_19"/>
      <w:bookmarkEnd w:id="44"/>
      <w:bookmarkEnd w:id="54"/>
      <w:bookmarkEnd w:id="55"/>
      <w:r w:rsidRPr="007936D7">
        <w:rPr>
          <w:rFonts w:ascii="PingFang SC" w:eastAsia="PingFang SC" w:hAnsi="PingFang SC" w:cs="宋体" w:hint="eastAsia"/>
          <w:color w:val="000000"/>
          <w:kern w:val="0"/>
          <w:sz w:val="27"/>
          <w:szCs w:val="27"/>
        </w:rPr>
        <w:t>３　前２項の規定は、第４条第３項の規定により聴聞の期日を変更した場合について準用する。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56" w:name="JUMP_SEQ_27"/>
      <w:bookmarkStart w:id="57" w:name="MOKUJI_20"/>
      <w:bookmarkStart w:id="58" w:name="JUMP_JYO_6_0_0"/>
      <w:bookmarkEnd w:id="56"/>
      <w:bookmarkEnd w:id="57"/>
      <w:r w:rsidRPr="007936D7">
        <w:rPr>
          <w:rFonts w:ascii="PingFang SC" w:eastAsia="PingFang SC" w:hAnsi="PingFang SC" w:cs="宋体" w:hint="eastAsia"/>
          <w:color w:val="000000"/>
          <w:kern w:val="0"/>
          <w:sz w:val="27"/>
          <w:szCs w:val="27"/>
        </w:rPr>
        <w:t>（関係人の参加の許可）</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59" w:name="JUMP_SEQ_28"/>
      <w:bookmarkEnd w:id="59"/>
      <w:r w:rsidRPr="007936D7">
        <w:rPr>
          <w:rFonts w:ascii="PingFang SC" w:eastAsia="PingFang SC" w:hAnsi="PingFang SC" w:cs="宋体" w:hint="eastAsia"/>
          <w:b/>
          <w:bCs/>
          <w:color w:val="000000"/>
          <w:kern w:val="0"/>
          <w:sz w:val="27"/>
          <w:szCs w:val="27"/>
        </w:rPr>
        <w:t>第６条</w:t>
      </w:r>
      <w:r w:rsidRPr="007936D7">
        <w:rPr>
          <w:rFonts w:ascii="PingFang SC" w:eastAsia="PingFang SC" w:hAnsi="PingFang SC" w:cs="宋体" w:hint="eastAsia"/>
          <w:color w:val="000000"/>
          <w:kern w:val="0"/>
          <w:sz w:val="27"/>
          <w:szCs w:val="27"/>
        </w:rPr>
        <w:t xml:space="preserve">　関係人は、法第17条第１項の規定により聴聞に関する手続に参加することの許可を受けようとするときは、当該聴聞の期日の４日前までに、当該聴聞に係る不利益処分につき利害関係を有することの疎明をした書面を主宰者に提出す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60" w:name="JUMP_SEQ_29"/>
      <w:bookmarkStart w:id="61" w:name="MOKUJI_21"/>
      <w:bookmarkEnd w:id="58"/>
      <w:bookmarkEnd w:id="60"/>
      <w:bookmarkEnd w:id="61"/>
      <w:r w:rsidRPr="007936D7">
        <w:rPr>
          <w:rFonts w:ascii="PingFang SC" w:eastAsia="PingFang SC" w:hAnsi="PingFang SC" w:cs="宋体" w:hint="eastAsia"/>
          <w:color w:val="000000"/>
          <w:kern w:val="0"/>
          <w:sz w:val="27"/>
          <w:szCs w:val="27"/>
        </w:rPr>
        <w:t>２　主宰者は、前項の許可をしたときは、速やかに、その旨を当該関係人に通知するものとする。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62" w:name="JUMP_SEQ_30"/>
      <w:bookmarkStart w:id="63" w:name="MOKUJI_22"/>
      <w:bookmarkStart w:id="64" w:name="JUMP_JYO_7_0_0"/>
      <w:bookmarkEnd w:id="62"/>
      <w:bookmarkEnd w:id="63"/>
      <w:r w:rsidRPr="007936D7">
        <w:rPr>
          <w:rFonts w:ascii="PingFang SC" w:eastAsia="PingFang SC" w:hAnsi="PingFang SC" w:cs="宋体" w:hint="eastAsia"/>
          <w:color w:val="000000"/>
          <w:kern w:val="0"/>
          <w:sz w:val="27"/>
          <w:szCs w:val="27"/>
        </w:rPr>
        <w:t>（補佐人の出頭の許可）</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65" w:name="JUMP_SEQ_31"/>
      <w:bookmarkEnd w:id="65"/>
      <w:r w:rsidRPr="007936D7">
        <w:rPr>
          <w:rFonts w:ascii="PingFang SC" w:eastAsia="PingFang SC" w:hAnsi="PingFang SC" w:cs="宋体" w:hint="eastAsia"/>
          <w:b/>
          <w:bCs/>
          <w:color w:val="000000"/>
          <w:kern w:val="0"/>
          <w:sz w:val="27"/>
          <w:szCs w:val="27"/>
        </w:rPr>
        <w:t>第７条</w:t>
      </w:r>
      <w:r w:rsidRPr="007936D7">
        <w:rPr>
          <w:rFonts w:ascii="PingFang SC" w:eastAsia="PingFang SC" w:hAnsi="PingFang SC" w:cs="宋体" w:hint="eastAsia"/>
          <w:color w:val="000000"/>
          <w:kern w:val="0"/>
          <w:sz w:val="27"/>
          <w:szCs w:val="27"/>
        </w:rPr>
        <w:t xml:space="preserve">　法第20条第３項の規定による許可の申請については、当事者又は参加人は、聴聞の期日までに、補佐人の氏名、住所、当事者又は参加人との関係及び補佐する事項を記載した書面を主宰者に提出してこれを行うものとする。ただし、法第22条第２項（法第25条後段において準用する場合を含む。）の規定により通知された聴</w:t>
      </w:r>
      <w:r w:rsidRPr="007936D7">
        <w:rPr>
          <w:rFonts w:ascii="PingFang SC" w:eastAsia="PingFang SC" w:hAnsi="PingFang SC" w:cs="宋体" w:hint="eastAsia"/>
          <w:color w:val="000000"/>
          <w:kern w:val="0"/>
          <w:sz w:val="27"/>
          <w:szCs w:val="27"/>
        </w:rPr>
        <w:lastRenderedPageBreak/>
        <w:t>聞の期日に出頭させようとする補佐人であって既に受けた許可に係る事項につき補佐するものについては、この限りでない。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66" w:name="JUMP_SEQ_32"/>
      <w:bookmarkStart w:id="67" w:name="MOKUJI_23"/>
      <w:bookmarkEnd w:id="66"/>
      <w:bookmarkEnd w:id="67"/>
      <w:r w:rsidRPr="007936D7">
        <w:rPr>
          <w:rFonts w:ascii="PingFang SC" w:eastAsia="PingFang SC" w:hAnsi="PingFang SC" w:cs="宋体" w:hint="eastAsia"/>
          <w:color w:val="000000"/>
          <w:kern w:val="0"/>
          <w:sz w:val="27"/>
          <w:szCs w:val="27"/>
        </w:rPr>
        <w:t>２　主宰者は、聴聞の期日の審理の進行に支障があると認めるときは、出頭する補佐人の数を制限することができる。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68" w:name="JUMP_SEQ_33"/>
      <w:bookmarkStart w:id="69" w:name="MOKUJI_24"/>
      <w:bookmarkEnd w:id="64"/>
      <w:bookmarkEnd w:id="68"/>
      <w:bookmarkEnd w:id="69"/>
      <w:r w:rsidRPr="007936D7">
        <w:rPr>
          <w:rFonts w:ascii="PingFang SC" w:eastAsia="PingFang SC" w:hAnsi="PingFang SC" w:cs="宋体" w:hint="eastAsia"/>
          <w:color w:val="000000"/>
          <w:kern w:val="0"/>
          <w:sz w:val="27"/>
          <w:szCs w:val="27"/>
        </w:rPr>
        <w:t>３　補佐人の陳述は、当事者又は参加人が直ちに取り消さないときは、当該当事者又は参加人が自ら行ったものとみなす。</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70" w:name="JUMP_SEQ_34"/>
      <w:bookmarkStart w:id="71" w:name="MOKUJI_25"/>
      <w:bookmarkStart w:id="72" w:name="JUMP_JYO_8_0_0"/>
      <w:bookmarkEnd w:id="70"/>
      <w:bookmarkEnd w:id="71"/>
      <w:r w:rsidRPr="007936D7">
        <w:rPr>
          <w:rFonts w:ascii="PingFang SC" w:eastAsia="PingFang SC" w:hAnsi="PingFang SC" w:cs="宋体" w:hint="eastAsia"/>
          <w:color w:val="000000"/>
          <w:kern w:val="0"/>
          <w:sz w:val="27"/>
          <w:szCs w:val="27"/>
        </w:rPr>
        <w:t>（参考人）</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73" w:name="JUMP_SEQ_35"/>
      <w:bookmarkEnd w:id="72"/>
      <w:bookmarkEnd w:id="73"/>
      <w:r w:rsidRPr="007936D7">
        <w:rPr>
          <w:rFonts w:ascii="PingFang SC" w:eastAsia="PingFang SC" w:hAnsi="PingFang SC" w:cs="宋体" w:hint="eastAsia"/>
          <w:b/>
          <w:bCs/>
          <w:color w:val="000000"/>
          <w:kern w:val="0"/>
          <w:sz w:val="27"/>
          <w:szCs w:val="27"/>
        </w:rPr>
        <w:t>第８条</w:t>
      </w:r>
      <w:r w:rsidRPr="007936D7">
        <w:rPr>
          <w:rFonts w:ascii="PingFang SC" w:eastAsia="PingFang SC" w:hAnsi="PingFang SC" w:cs="宋体" w:hint="eastAsia"/>
          <w:color w:val="000000"/>
          <w:kern w:val="0"/>
          <w:sz w:val="27"/>
          <w:szCs w:val="27"/>
        </w:rPr>
        <w:t xml:space="preserve">　主宰者は、聴聞に係る事案に関する事項について専門的知識を有する者その他適当と認める者を、参考人として、聴聞の期日に出頭することを求め、意見又は事情を聴くことができる。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74" w:name="JUMP_SEQ_36"/>
      <w:bookmarkStart w:id="75" w:name="MOKUJI_26"/>
      <w:bookmarkStart w:id="76" w:name="JUMP_JYO_9_0_0"/>
      <w:bookmarkEnd w:id="74"/>
      <w:bookmarkEnd w:id="75"/>
      <w:r w:rsidRPr="007936D7">
        <w:rPr>
          <w:rFonts w:ascii="PingFang SC" w:eastAsia="PingFang SC" w:hAnsi="PingFang SC" w:cs="宋体" w:hint="eastAsia"/>
          <w:color w:val="000000"/>
          <w:kern w:val="0"/>
          <w:sz w:val="27"/>
          <w:szCs w:val="27"/>
        </w:rPr>
        <w:t>(文書等の閲覧の手続）</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77" w:name="JUMP_SEQ_37"/>
      <w:bookmarkEnd w:id="77"/>
      <w:r w:rsidRPr="007936D7">
        <w:rPr>
          <w:rFonts w:ascii="PingFang SC" w:eastAsia="PingFang SC" w:hAnsi="PingFang SC" w:cs="宋体" w:hint="eastAsia"/>
          <w:b/>
          <w:bCs/>
          <w:color w:val="000000"/>
          <w:kern w:val="0"/>
          <w:sz w:val="27"/>
          <w:szCs w:val="27"/>
        </w:rPr>
        <w:t>第９条</w:t>
      </w:r>
      <w:r w:rsidRPr="007936D7">
        <w:rPr>
          <w:rFonts w:ascii="PingFang SC" w:eastAsia="PingFang SC" w:hAnsi="PingFang SC" w:cs="宋体" w:hint="eastAsia"/>
          <w:color w:val="000000"/>
          <w:kern w:val="0"/>
          <w:sz w:val="27"/>
          <w:szCs w:val="27"/>
        </w:rPr>
        <w:t xml:space="preserve">　法第18条第１項の規定による文書等の閲覧の求めについては、当事者又は当該不利益処分がされた場合に自己の利益が害されることとなる参加人（以下この条において「当事者等」という。）は、その氏名及び住所並びに閲覧をしようとする文書等の標目を記載した書面を提出することにより行うものとする。ただし、同条第２項の規定による文書等の閲覧の求めは、口頭により行う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78" w:name="JUMP_SEQ_38"/>
      <w:bookmarkStart w:id="79" w:name="MOKUJI_27"/>
      <w:bookmarkEnd w:id="78"/>
      <w:bookmarkEnd w:id="79"/>
      <w:r w:rsidRPr="007936D7">
        <w:rPr>
          <w:rFonts w:ascii="PingFang SC" w:eastAsia="PingFang SC" w:hAnsi="PingFang SC" w:cs="宋体" w:hint="eastAsia"/>
          <w:color w:val="000000"/>
          <w:kern w:val="0"/>
          <w:sz w:val="27"/>
          <w:szCs w:val="27"/>
        </w:rPr>
        <w:t>２　行政庁は、文書等の閲覧を許可したときは、その場において閲覧させる場合を除き、速やかに、閲覧の日時及び場所を当該当事者等に通知しなければならない。この場合において、行政庁は、当事者</w:t>
      </w:r>
      <w:r w:rsidRPr="007936D7">
        <w:rPr>
          <w:rFonts w:ascii="PingFang SC" w:eastAsia="PingFang SC" w:hAnsi="PingFang SC" w:cs="宋体" w:hint="eastAsia"/>
          <w:color w:val="000000"/>
          <w:kern w:val="0"/>
          <w:sz w:val="27"/>
          <w:szCs w:val="27"/>
        </w:rPr>
        <w:lastRenderedPageBreak/>
        <w:t>等の意見陳述等の準備を妨げることがないよう配慮するものとする。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80" w:name="JUMP_SEQ_39"/>
      <w:bookmarkStart w:id="81" w:name="MOKUJI_28"/>
      <w:bookmarkEnd w:id="76"/>
      <w:bookmarkEnd w:id="80"/>
      <w:bookmarkEnd w:id="81"/>
      <w:r w:rsidRPr="007936D7">
        <w:rPr>
          <w:rFonts w:ascii="PingFang SC" w:eastAsia="PingFang SC" w:hAnsi="PingFang SC" w:cs="宋体" w:hint="eastAsia"/>
          <w:color w:val="000000"/>
          <w:kern w:val="0"/>
          <w:sz w:val="27"/>
          <w:szCs w:val="27"/>
        </w:rPr>
        <w:t>３　主宰者は、法第18条第２項の規定による文書等の閲覧の求めがあった場合で、行政庁が当該求めのあった聴聞の期日の審理において閲覧させることができないとき（同条第１項後段の規定による拒否の場合を除く。）は、閲覧の日時及び場所を指定し、当該当事者等に通知しなければならない。この場合において、主宰者は、法第22条第１項の規定により当該閲覧の日時以降の日を新たな聴聞の期日として定め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82" w:name="JUMP_SEQ_40"/>
      <w:bookmarkStart w:id="83" w:name="MOKUJI_29"/>
      <w:bookmarkStart w:id="84" w:name="JUMP_JYO_10_0_0"/>
      <w:bookmarkEnd w:id="82"/>
      <w:bookmarkEnd w:id="83"/>
      <w:r w:rsidRPr="007936D7">
        <w:rPr>
          <w:rFonts w:ascii="PingFang SC" w:eastAsia="PingFang SC" w:hAnsi="PingFang SC" w:cs="宋体" w:hint="eastAsia"/>
          <w:color w:val="000000"/>
          <w:kern w:val="0"/>
          <w:sz w:val="27"/>
          <w:szCs w:val="27"/>
        </w:rPr>
        <w:t>（聴聞の場合の証拠書類等の目録）</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85" w:name="JUMP_SEQ_41"/>
      <w:bookmarkEnd w:id="85"/>
      <w:r w:rsidRPr="007936D7">
        <w:rPr>
          <w:rFonts w:ascii="PingFang SC" w:eastAsia="PingFang SC" w:hAnsi="PingFang SC" w:cs="宋体" w:hint="eastAsia"/>
          <w:b/>
          <w:bCs/>
          <w:color w:val="000000"/>
          <w:kern w:val="0"/>
          <w:sz w:val="27"/>
          <w:szCs w:val="27"/>
        </w:rPr>
        <w:t>第10条</w:t>
      </w:r>
      <w:r w:rsidRPr="007936D7">
        <w:rPr>
          <w:rFonts w:ascii="PingFang SC" w:eastAsia="PingFang SC" w:hAnsi="PingFang SC" w:cs="宋体" w:hint="eastAsia"/>
          <w:color w:val="000000"/>
          <w:kern w:val="0"/>
          <w:sz w:val="27"/>
          <w:szCs w:val="27"/>
        </w:rPr>
        <w:t xml:space="preserve">　主宰者は、法第20条第２項及び法第21条第１項に規定する証拠書類等について、証拠書類等目録を作成するものとする。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86" w:name="JUMP_SEQ_42"/>
      <w:bookmarkStart w:id="87" w:name="MOKUJI_30"/>
      <w:bookmarkEnd w:id="86"/>
      <w:bookmarkEnd w:id="87"/>
      <w:r w:rsidRPr="007936D7">
        <w:rPr>
          <w:rFonts w:ascii="PingFang SC" w:eastAsia="PingFang SC" w:hAnsi="PingFang SC" w:cs="宋体" w:hint="eastAsia"/>
          <w:color w:val="000000"/>
          <w:kern w:val="0"/>
          <w:sz w:val="27"/>
          <w:szCs w:val="27"/>
        </w:rPr>
        <w:t>２　主宰者は、前項の証拠書類等目録を作成したときは、その写しを提出者に交付しなければならない。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88" w:name="JUMP_SEQ_43"/>
      <w:bookmarkStart w:id="89" w:name="MOKUJI_31"/>
      <w:bookmarkEnd w:id="84"/>
      <w:bookmarkEnd w:id="88"/>
      <w:bookmarkEnd w:id="89"/>
      <w:r w:rsidRPr="007936D7">
        <w:rPr>
          <w:rFonts w:ascii="PingFang SC" w:eastAsia="PingFang SC" w:hAnsi="PingFang SC" w:cs="宋体" w:hint="eastAsia"/>
          <w:color w:val="000000"/>
          <w:kern w:val="0"/>
          <w:sz w:val="27"/>
          <w:szCs w:val="27"/>
        </w:rPr>
        <w:t>３　主宰者は、必要がなくなったと認めるときは、証拠書類等を速やかに提出者に返還するものとする。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90" w:name="JUMP_SEQ_44"/>
      <w:bookmarkStart w:id="91" w:name="MOKUJI_32"/>
      <w:bookmarkStart w:id="92" w:name="JUMP_JYO_11_0_0"/>
      <w:bookmarkEnd w:id="90"/>
      <w:bookmarkEnd w:id="91"/>
      <w:r w:rsidRPr="007936D7">
        <w:rPr>
          <w:rFonts w:ascii="PingFang SC" w:eastAsia="PingFang SC" w:hAnsi="PingFang SC" w:cs="宋体" w:hint="eastAsia"/>
          <w:color w:val="000000"/>
          <w:kern w:val="0"/>
          <w:sz w:val="27"/>
          <w:szCs w:val="27"/>
        </w:rPr>
        <w:t>（聴聞の公開）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93" w:name="JUMP_SEQ_45"/>
      <w:bookmarkEnd w:id="93"/>
      <w:r w:rsidRPr="007936D7">
        <w:rPr>
          <w:rFonts w:ascii="PingFang SC" w:eastAsia="PingFang SC" w:hAnsi="PingFang SC" w:cs="宋体" w:hint="eastAsia"/>
          <w:b/>
          <w:bCs/>
          <w:color w:val="000000"/>
          <w:kern w:val="0"/>
          <w:sz w:val="27"/>
          <w:szCs w:val="27"/>
        </w:rPr>
        <w:t>第11条</w:t>
      </w:r>
      <w:r w:rsidRPr="007936D7">
        <w:rPr>
          <w:rFonts w:ascii="PingFang SC" w:eastAsia="PingFang SC" w:hAnsi="PingFang SC" w:cs="宋体" w:hint="eastAsia"/>
          <w:color w:val="000000"/>
          <w:kern w:val="0"/>
          <w:sz w:val="27"/>
          <w:szCs w:val="27"/>
        </w:rPr>
        <w:t xml:space="preserve">　行政庁は、当事者が聴聞の期日の審理の公開を求めている場合又は当該事案についての社会的関心が高い場合で、当該行政庁が相当と認めたときは、これを公開することができる。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94" w:name="JUMP_SEQ_46"/>
      <w:bookmarkStart w:id="95" w:name="MOKUJI_33"/>
      <w:bookmarkEnd w:id="94"/>
      <w:bookmarkEnd w:id="95"/>
      <w:r w:rsidRPr="007936D7">
        <w:rPr>
          <w:rFonts w:ascii="PingFang SC" w:eastAsia="PingFang SC" w:hAnsi="PingFang SC" w:cs="宋体" w:hint="eastAsia"/>
          <w:color w:val="000000"/>
          <w:kern w:val="0"/>
          <w:sz w:val="27"/>
          <w:szCs w:val="27"/>
        </w:rPr>
        <w:lastRenderedPageBreak/>
        <w:t>２　行政庁は、前項の規定により聴聞の期日の審理を公開しようとするときは、その旨を当事者及び参加人に通知するとともに、その旨及び第５条第１項各号に掲げる事項を公示しなければならない。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96" w:name="JUMP_SEQ_47"/>
      <w:bookmarkStart w:id="97" w:name="MOKUJI_34"/>
      <w:bookmarkEnd w:id="96"/>
      <w:bookmarkEnd w:id="97"/>
      <w:r w:rsidRPr="007936D7">
        <w:rPr>
          <w:rFonts w:ascii="PingFang SC" w:eastAsia="PingFang SC" w:hAnsi="PingFang SC" w:cs="宋体" w:hint="eastAsia"/>
          <w:color w:val="000000"/>
          <w:kern w:val="0"/>
          <w:sz w:val="27"/>
          <w:szCs w:val="27"/>
        </w:rPr>
        <w:t>３　前項の規定による公示は、行政庁の事務所の掲示板に掲示して行うものとする。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98" w:name="JUMP_SEQ_48"/>
      <w:bookmarkStart w:id="99" w:name="MOKUJI_35"/>
      <w:bookmarkEnd w:id="92"/>
      <w:bookmarkEnd w:id="98"/>
      <w:bookmarkEnd w:id="99"/>
      <w:r w:rsidRPr="007936D7">
        <w:rPr>
          <w:rFonts w:ascii="PingFang SC" w:eastAsia="PingFang SC" w:hAnsi="PingFang SC" w:cs="宋体" w:hint="eastAsia"/>
          <w:color w:val="000000"/>
          <w:kern w:val="0"/>
          <w:sz w:val="27"/>
          <w:szCs w:val="27"/>
        </w:rPr>
        <w:t>４　前２項の規定は、公開による聴聞の期日を変更した場合について準用する。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00" w:name="JUMP_SEQ_49"/>
      <w:bookmarkStart w:id="101" w:name="MOKUJI_36"/>
      <w:bookmarkStart w:id="102" w:name="JUMP_JYO_12_0_0"/>
      <w:bookmarkEnd w:id="100"/>
      <w:bookmarkEnd w:id="101"/>
      <w:r w:rsidRPr="007936D7">
        <w:rPr>
          <w:rFonts w:ascii="PingFang SC" w:eastAsia="PingFang SC" w:hAnsi="PingFang SC" w:cs="宋体" w:hint="eastAsia"/>
          <w:color w:val="000000"/>
          <w:kern w:val="0"/>
          <w:sz w:val="27"/>
          <w:szCs w:val="27"/>
        </w:rPr>
        <w:t>（陳述の制限及び秩序の維持）</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03" w:name="JUMP_SEQ_50"/>
      <w:bookmarkEnd w:id="103"/>
      <w:r w:rsidRPr="007936D7">
        <w:rPr>
          <w:rFonts w:ascii="PingFang SC" w:eastAsia="PingFang SC" w:hAnsi="PingFang SC" w:cs="宋体" w:hint="eastAsia"/>
          <w:b/>
          <w:bCs/>
          <w:color w:val="000000"/>
          <w:kern w:val="0"/>
          <w:sz w:val="27"/>
          <w:szCs w:val="27"/>
        </w:rPr>
        <w:t>第12条</w:t>
      </w:r>
      <w:r w:rsidRPr="007936D7">
        <w:rPr>
          <w:rFonts w:ascii="PingFang SC" w:eastAsia="PingFang SC" w:hAnsi="PingFang SC" w:cs="宋体" w:hint="eastAsia"/>
          <w:color w:val="000000"/>
          <w:kern w:val="0"/>
          <w:sz w:val="27"/>
          <w:szCs w:val="27"/>
        </w:rPr>
        <w:t xml:space="preserve">　主宰者は、聴聞の期日に出頭した者が当該事案の範囲を超えて陳述を行うときその他議事を整理するためにやむを得ないと認めるときは、その者の陳述を制限することができる。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04" w:name="JUMP_SEQ_51"/>
      <w:bookmarkStart w:id="105" w:name="MOKUJI_37"/>
      <w:bookmarkEnd w:id="102"/>
      <w:bookmarkEnd w:id="104"/>
      <w:bookmarkEnd w:id="105"/>
      <w:r w:rsidRPr="007936D7">
        <w:rPr>
          <w:rFonts w:ascii="PingFang SC" w:eastAsia="PingFang SC" w:hAnsi="PingFang SC" w:cs="宋体" w:hint="eastAsia"/>
          <w:color w:val="000000"/>
          <w:kern w:val="0"/>
          <w:sz w:val="27"/>
          <w:szCs w:val="27"/>
        </w:rPr>
        <w:t>２　主宰者は、聴聞の期日の審理の秩序を維持するために必要があると認めるときは、傍聴人の入場を制限し、聴聞の期日の審理を妨害し、又はその秩序を乱す者に退場を命ずることその他適当な措置をと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06" w:name="JUMP_SEQ_52"/>
      <w:bookmarkStart w:id="107" w:name="MOKUJI_38"/>
      <w:bookmarkStart w:id="108" w:name="JUMP_JYO_13_0_0"/>
      <w:bookmarkEnd w:id="106"/>
      <w:bookmarkEnd w:id="107"/>
      <w:r w:rsidRPr="007936D7">
        <w:rPr>
          <w:rFonts w:ascii="PingFang SC" w:eastAsia="PingFang SC" w:hAnsi="PingFang SC" w:cs="宋体" w:hint="eastAsia"/>
          <w:color w:val="000000"/>
          <w:kern w:val="0"/>
          <w:sz w:val="27"/>
          <w:szCs w:val="27"/>
        </w:rPr>
        <w:t>（聴聞調書及び報告書）</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09" w:name="JUMP_SEQ_53"/>
      <w:bookmarkEnd w:id="109"/>
      <w:r w:rsidRPr="007936D7">
        <w:rPr>
          <w:rFonts w:ascii="PingFang SC" w:eastAsia="PingFang SC" w:hAnsi="PingFang SC" w:cs="宋体" w:hint="eastAsia"/>
          <w:b/>
          <w:bCs/>
          <w:color w:val="000000"/>
          <w:kern w:val="0"/>
          <w:sz w:val="27"/>
          <w:szCs w:val="27"/>
        </w:rPr>
        <w:t>第13条</w:t>
      </w:r>
      <w:r w:rsidRPr="007936D7">
        <w:rPr>
          <w:rFonts w:ascii="PingFang SC" w:eastAsia="PingFang SC" w:hAnsi="PingFang SC" w:cs="宋体" w:hint="eastAsia"/>
          <w:color w:val="000000"/>
          <w:kern w:val="0"/>
          <w:sz w:val="27"/>
          <w:szCs w:val="27"/>
        </w:rPr>
        <w:t xml:space="preserve">　法第24条第１項に規定する調書には、次に掲げる事項を記載しなければならない。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10" w:name="JUMP_SEQ_54"/>
      <w:bookmarkEnd w:id="110"/>
      <w:r w:rsidRPr="007936D7">
        <w:rPr>
          <w:rFonts w:ascii="PingFang SC" w:eastAsia="PingFang SC" w:hAnsi="PingFang SC" w:cs="宋体" w:hint="eastAsia"/>
          <w:color w:val="000000"/>
          <w:kern w:val="0"/>
          <w:sz w:val="27"/>
          <w:szCs w:val="27"/>
        </w:rPr>
        <w:t>(１)　聴聞の件名</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11" w:name="JUMP_SEQ_55"/>
      <w:bookmarkEnd w:id="111"/>
      <w:r w:rsidRPr="007936D7">
        <w:rPr>
          <w:rFonts w:ascii="PingFang SC" w:eastAsia="PingFang SC" w:hAnsi="PingFang SC" w:cs="宋体" w:hint="eastAsia"/>
          <w:color w:val="000000"/>
          <w:kern w:val="0"/>
          <w:sz w:val="27"/>
          <w:szCs w:val="27"/>
        </w:rPr>
        <w:t>(２)　聴聞の期日及び場所</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12" w:name="JUMP_SEQ_56"/>
      <w:bookmarkEnd w:id="112"/>
      <w:r w:rsidRPr="007936D7">
        <w:rPr>
          <w:rFonts w:ascii="PingFang SC" w:eastAsia="PingFang SC" w:hAnsi="PingFang SC" w:cs="宋体" w:hint="eastAsia"/>
          <w:color w:val="000000"/>
          <w:kern w:val="0"/>
          <w:sz w:val="27"/>
          <w:szCs w:val="27"/>
        </w:rPr>
        <w:t>(３)　主宰者の氏名及び職名</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13" w:name="JUMP_SEQ_57"/>
      <w:bookmarkStart w:id="114" w:name="JUMP_GOU_4_0_0"/>
      <w:bookmarkEnd w:id="113"/>
      <w:r w:rsidRPr="007936D7">
        <w:rPr>
          <w:rFonts w:ascii="PingFang SC" w:eastAsia="PingFang SC" w:hAnsi="PingFang SC" w:cs="宋体" w:hint="eastAsia"/>
          <w:color w:val="000000"/>
          <w:kern w:val="0"/>
          <w:sz w:val="27"/>
          <w:szCs w:val="27"/>
        </w:rPr>
        <w:lastRenderedPageBreak/>
        <w:t>(４)　聴聞の期日に出頭した当事者及び参加人並びにこれらの者の代理人及び補佐人（以下この条において「当事者及び参加人等」という。）の氏名並びに行政庁の職員の氏名及び職名</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15" w:name="JUMP_SEQ_58"/>
      <w:bookmarkStart w:id="116" w:name="JUMP_GOU_5_0_0"/>
      <w:bookmarkEnd w:id="115"/>
      <w:r w:rsidRPr="007936D7">
        <w:rPr>
          <w:rFonts w:ascii="PingFang SC" w:eastAsia="PingFang SC" w:hAnsi="PingFang SC" w:cs="宋体" w:hint="eastAsia"/>
          <w:color w:val="000000"/>
          <w:kern w:val="0"/>
          <w:sz w:val="27"/>
          <w:szCs w:val="27"/>
        </w:rPr>
        <w:t>(５)　聴聞の期日に出頭しなかった当事者及び参加人等の氏名並びに当事者にあっては、出頭しなかったことについての正当な理由の有無</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17" w:name="JUMP_GOU_6_0_0"/>
      <w:bookmarkStart w:id="118" w:name="JUMP_SEQ_59"/>
      <w:bookmarkEnd w:id="117"/>
      <w:bookmarkEnd w:id="118"/>
      <w:r w:rsidRPr="007936D7">
        <w:rPr>
          <w:rFonts w:ascii="PingFang SC" w:eastAsia="PingFang SC" w:hAnsi="PingFang SC" w:cs="宋体" w:hint="eastAsia"/>
          <w:color w:val="000000"/>
          <w:kern w:val="0"/>
          <w:sz w:val="27"/>
          <w:szCs w:val="27"/>
        </w:rPr>
        <w:t>(６)　当事者及び参加人等の陳述（陳述書が提出された場合の意見の陳述を含む。）並びに行政庁の職員の説明の要旨</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19" w:name="JUMP_GOU_7_0_0"/>
      <w:bookmarkStart w:id="120" w:name="JUMP_SEQ_60"/>
      <w:bookmarkEnd w:id="119"/>
      <w:bookmarkEnd w:id="120"/>
      <w:r w:rsidRPr="007936D7">
        <w:rPr>
          <w:rFonts w:ascii="PingFang SC" w:eastAsia="PingFang SC" w:hAnsi="PingFang SC" w:cs="宋体" w:hint="eastAsia"/>
          <w:color w:val="000000"/>
          <w:kern w:val="0"/>
          <w:sz w:val="27"/>
          <w:szCs w:val="27"/>
        </w:rPr>
        <w:t>(７)　証拠書類等の標目</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21" w:name="JUMP_GOU_8_0_0"/>
      <w:bookmarkStart w:id="122" w:name="JUMP_SEQ_61"/>
      <w:bookmarkEnd w:id="121"/>
      <w:bookmarkEnd w:id="122"/>
      <w:r w:rsidRPr="007936D7">
        <w:rPr>
          <w:rFonts w:ascii="PingFang SC" w:eastAsia="PingFang SC" w:hAnsi="PingFang SC" w:cs="宋体" w:hint="eastAsia"/>
          <w:color w:val="000000"/>
          <w:kern w:val="0"/>
          <w:sz w:val="27"/>
          <w:szCs w:val="27"/>
        </w:rPr>
        <w:t>(８)　その他参考となる事項</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23" w:name="JUMP_SEQ_62"/>
      <w:bookmarkStart w:id="124" w:name="MOKUJI_39"/>
      <w:bookmarkEnd w:id="123"/>
      <w:bookmarkEnd w:id="124"/>
      <w:r w:rsidRPr="007936D7">
        <w:rPr>
          <w:rFonts w:ascii="PingFang SC" w:eastAsia="PingFang SC" w:hAnsi="PingFang SC" w:cs="宋体" w:hint="eastAsia"/>
          <w:color w:val="000000"/>
          <w:kern w:val="0"/>
          <w:sz w:val="27"/>
          <w:szCs w:val="27"/>
        </w:rPr>
        <w:t>２　主宰者は、前項の調書に書面、図画、写真その他主宰者が適当と認めるものを添付して調書の一部とすることができる。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25" w:name="JUMP_SEQ_63"/>
      <w:bookmarkStart w:id="126" w:name="MOKUJI_40"/>
      <w:bookmarkEnd w:id="125"/>
      <w:bookmarkEnd w:id="126"/>
      <w:r w:rsidRPr="007936D7">
        <w:rPr>
          <w:rFonts w:ascii="PingFang SC" w:eastAsia="PingFang SC" w:hAnsi="PingFang SC" w:cs="宋体" w:hint="eastAsia"/>
          <w:color w:val="000000"/>
          <w:kern w:val="0"/>
          <w:sz w:val="27"/>
          <w:szCs w:val="27"/>
        </w:rPr>
        <w:t>３　法第24条第３項に規定する報告書には、次に掲げる事項を記載しなければならない。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27" w:name="JUMP_SEQ_64"/>
      <w:bookmarkEnd w:id="127"/>
      <w:r w:rsidRPr="007936D7">
        <w:rPr>
          <w:rFonts w:ascii="PingFang SC" w:eastAsia="PingFang SC" w:hAnsi="PingFang SC" w:cs="宋体" w:hint="eastAsia"/>
          <w:color w:val="000000"/>
          <w:kern w:val="0"/>
          <w:sz w:val="27"/>
          <w:szCs w:val="27"/>
        </w:rPr>
        <w:t>(１)　意見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28" w:name="JUMP_SEQ_65"/>
      <w:bookmarkEnd w:id="128"/>
      <w:r w:rsidRPr="007936D7">
        <w:rPr>
          <w:rFonts w:ascii="PingFang SC" w:eastAsia="PingFang SC" w:hAnsi="PingFang SC" w:cs="宋体" w:hint="eastAsia"/>
          <w:color w:val="000000"/>
          <w:kern w:val="0"/>
          <w:sz w:val="27"/>
          <w:szCs w:val="27"/>
        </w:rPr>
        <w:t>(２)　不利益処分の原因となる事実に対する当事者及び参加人等の主張</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29" w:name="JUMP_SEQ_66"/>
      <w:bookmarkEnd w:id="129"/>
      <w:r w:rsidRPr="007936D7">
        <w:rPr>
          <w:rFonts w:ascii="PingFang SC" w:eastAsia="PingFang SC" w:hAnsi="PingFang SC" w:cs="宋体" w:hint="eastAsia"/>
          <w:color w:val="000000"/>
          <w:kern w:val="0"/>
          <w:sz w:val="27"/>
          <w:szCs w:val="27"/>
        </w:rPr>
        <w:t>(３)　理由</w:t>
      </w:r>
    </w:p>
    <w:p w:rsidR="007936D7" w:rsidRPr="007936D7" w:rsidRDefault="007936D7" w:rsidP="007936D7">
      <w:pPr>
        <w:widowControl/>
        <w:jc w:val="left"/>
        <w:rPr>
          <w:rFonts w:ascii="PingFang SC" w:eastAsia="PingFang SC" w:hAnsi="PingFang SC" w:cs="宋体" w:hint="eastAsia"/>
          <w:i/>
          <w:iCs/>
          <w:color w:val="800000"/>
          <w:kern w:val="0"/>
          <w:sz w:val="27"/>
          <w:szCs w:val="27"/>
        </w:rPr>
      </w:pPr>
      <w:bookmarkStart w:id="130" w:name="JUMP_SEQ_67"/>
      <w:bookmarkEnd w:id="108"/>
      <w:bookmarkEnd w:id="130"/>
      <w:r w:rsidRPr="007936D7">
        <w:rPr>
          <w:rFonts w:ascii="PingFang SC" w:eastAsia="PingFang SC" w:hAnsi="PingFang SC" w:cs="宋体" w:hint="eastAsia"/>
          <w:i/>
          <w:iCs/>
          <w:color w:val="800000"/>
          <w:kern w:val="0"/>
          <w:sz w:val="27"/>
          <w:szCs w:val="27"/>
        </w:rPr>
        <w:t>一部改正〔令和３年規則80号〕</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31" w:name="JUMP_SEQ_68"/>
      <w:bookmarkStart w:id="132" w:name="MOKUJI_41"/>
      <w:bookmarkStart w:id="133" w:name="JUMP_JYO_14_0_0"/>
      <w:bookmarkEnd w:id="131"/>
      <w:bookmarkEnd w:id="132"/>
      <w:r w:rsidRPr="007936D7">
        <w:rPr>
          <w:rFonts w:ascii="PingFang SC" w:eastAsia="PingFang SC" w:hAnsi="PingFang SC" w:cs="宋体" w:hint="eastAsia"/>
          <w:color w:val="000000"/>
          <w:kern w:val="0"/>
          <w:sz w:val="27"/>
          <w:szCs w:val="27"/>
        </w:rPr>
        <w:t>（聴聞調書及び報告書の閲覧の手続）</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34" w:name="JUMP_SEQ_69"/>
      <w:bookmarkEnd w:id="134"/>
      <w:r w:rsidRPr="007936D7">
        <w:rPr>
          <w:rFonts w:ascii="PingFang SC" w:eastAsia="PingFang SC" w:hAnsi="PingFang SC" w:cs="宋体" w:hint="eastAsia"/>
          <w:b/>
          <w:bCs/>
          <w:color w:val="000000"/>
          <w:kern w:val="0"/>
          <w:sz w:val="27"/>
          <w:szCs w:val="27"/>
        </w:rPr>
        <w:t>第14条</w:t>
      </w:r>
      <w:r w:rsidRPr="007936D7">
        <w:rPr>
          <w:rFonts w:ascii="PingFang SC" w:eastAsia="PingFang SC" w:hAnsi="PingFang SC" w:cs="宋体" w:hint="eastAsia"/>
          <w:color w:val="000000"/>
          <w:kern w:val="0"/>
          <w:sz w:val="27"/>
          <w:szCs w:val="27"/>
        </w:rPr>
        <w:t xml:space="preserve">　当事者又は参加人は、法第24条第４項の規定により調書の閲覧を求めようとするときは、その氏名及び住所並びに閲覧を求め</w:t>
      </w:r>
      <w:r w:rsidRPr="007936D7">
        <w:rPr>
          <w:rFonts w:ascii="PingFang SC" w:eastAsia="PingFang SC" w:hAnsi="PingFang SC" w:cs="宋体" w:hint="eastAsia"/>
          <w:color w:val="000000"/>
          <w:kern w:val="0"/>
          <w:sz w:val="27"/>
          <w:szCs w:val="27"/>
        </w:rPr>
        <w:lastRenderedPageBreak/>
        <w:t>ようとする聴聞調書又は報告書の件名を記載した書面を、聴聞の終結前にあっては主宰者に、聴聞の終結後にあっては行政庁に提出するものとする。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35" w:name="JUMP_SEQ_70"/>
      <w:bookmarkStart w:id="136" w:name="MOKUJI_42"/>
      <w:bookmarkEnd w:id="133"/>
      <w:bookmarkEnd w:id="135"/>
      <w:bookmarkEnd w:id="136"/>
      <w:r w:rsidRPr="007936D7">
        <w:rPr>
          <w:rFonts w:ascii="PingFang SC" w:eastAsia="PingFang SC" w:hAnsi="PingFang SC" w:cs="宋体" w:hint="eastAsia"/>
          <w:color w:val="000000"/>
          <w:kern w:val="0"/>
          <w:sz w:val="27"/>
          <w:szCs w:val="27"/>
        </w:rPr>
        <w:t>２　主宰者又は行政庁は、前項の閲覧を許可したときは、その場で閲覧させる場合を除き、速やかに、閲覧の日時及び場所を当該当事者又は参加人に通知しなければならない。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37" w:name="JUMP_SEQ_71"/>
      <w:bookmarkStart w:id="138" w:name="MOKUJI_43"/>
      <w:bookmarkStart w:id="139" w:name="JUMP_JYO_15_0_0"/>
      <w:bookmarkEnd w:id="137"/>
      <w:bookmarkEnd w:id="138"/>
      <w:r w:rsidRPr="007936D7">
        <w:rPr>
          <w:rFonts w:ascii="PingFang SC" w:eastAsia="PingFang SC" w:hAnsi="PingFang SC" w:cs="宋体" w:hint="eastAsia"/>
          <w:color w:val="000000"/>
          <w:kern w:val="0"/>
          <w:sz w:val="27"/>
          <w:szCs w:val="27"/>
        </w:rPr>
        <w:t>（弁明の機会の付与の通知等）</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40" w:name="JUMP_SEQ_72"/>
      <w:bookmarkEnd w:id="140"/>
      <w:r w:rsidRPr="007936D7">
        <w:rPr>
          <w:rFonts w:ascii="PingFang SC" w:eastAsia="PingFang SC" w:hAnsi="PingFang SC" w:cs="宋体" w:hint="eastAsia"/>
          <w:b/>
          <w:bCs/>
          <w:color w:val="000000"/>
          <w:kern w:val="0"/>
          <w:sz w:val="27"/>
          <w:szCs w:val="27"/>
        </w:rPr>
        <w:t>第15条</w:t>
      </w:r>
      <w:r w:rsidRPr="007936D7">
        <w:rPr>
          <w:rFonts w:ascii="PingFang SC" w:eastAsia="PingFang SC" w:hAnsi="PingFang SC" w:cs="宋体" w:hint="eastAsia"/>
          <w:color w:val="000000"/>
          <w:kern w:val="0"/>
          <w:sz w:val="27"/>
          <w:szCs w:val="27"/>
        </w:rPr>
        <w:t xml:space="preserve">　法第30条の規定による弁明の機会の付与の通知については、行政庁は、同条の弁明書の提出期限（口頭による弁明の機会の付与を行う場合には、その期日）の７日前までに、これを行うものとする。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41" w:name="JUMP_SEQ_73"/>
      <w:bookmarkStart w:id="142" w:name="MOKUJI_44"/>
      <w:bookmarkEnd w:id="141"/>
      <w:bookmarkEnd w:id="142"/>
      <w:r w:rsidRPr="007936D7">
        <w:rPr>
          <w:rFonts w:ascii="PingFang SC" w:eastAsia="PingFang SC" w:hAnsi="PingFang SC" w:cs="宋体" w:hint="eastAsia"/>
          <w:color w:val="000000"/>
          <w:kern w:val="0"/>
          <w:sz w:val="27"/>
          <w:szCs w:val="27"/>
        </w:rPr>
        <w:t>２　弁明者（前項の通知を受けた者（法第31条において準用する法第15条第３項の規定により当該通知が到達したものとみなされる者を含む。）をいう。以下同じ。）は、やむを得ない理由があるときは、弁明書の提出期限（口頭による弁明の機会の付与を行う場合には、その日時。以下この条において同じ。）の変更を行政庁に申し出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43" w:name="JUMP_SEQ_74"/>
      <w:bookmarkStart w:id="144" w:name="MOKUJI_45"/>
      <w:bookmarkEnd w:id="143"/>
      <w:bookmarkEnd w:id="144"/>
      <w:r w:rsidRPr="007936D7">
        <w:rPr>
          <w:rFonts w:ascii="PingFang SC" w:eastAsia="PingFang SC" w:hAnsi="PingFang SC" w:cs="宋体" w:hint="eastAsia"/>
          <w:color w:val="000000"/>
          <w:kern w:val="0"/>
          <w:sz w:val="27"/>
          <w:szCs w:val="27"/>
        </w:rPr>
        <w:t>３　行政庁は、前項の申出又は職権により弁明書の提出期限を変更することができる。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45" w:name="JUMP_SEQ_75"/>
      <w:bookmarkStart w:id="146" w:name="MOKUJI_46"/>
      <w:bookmarkEnd w:id="139"/>
      <w:bookmarkEnd w:id="145"/>
      <w:bookmarkEnd w:id="146"/>
      <w:r w:rsidRPr="007936D7">
        <w:rPr>
          <w:rFonts w:ascii="PingFang SC" w:eastAsia="PingFang SC" w:hAnsi="PingFang SC" w:cs="宋体" w:hint="eastAsia"/>
          <w:color w:val="000000"/>
          <w:kern w:val="0"/>
          <w:sz w:val="27"/>
          <w:szCs w:val="27"/>
        </w:rPr>
        <w:t>４　行政庁は、前項の規定により弁明書の提出期限を変更したときは、その旨を弁明者に通知しなければならない。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47" w:name="JUMP_SEQ_76"/>
      <w:bookmarkStart w:id="148" w:name="MOKUJI_47"/>
      <w:bookmarkStart w:id="149" w:name="JUMP_JYO_16_0_0"/>
      <w:bookmarkEnd w:id="147"/>
      <w:bookmarkEnd w:id="148"/>
      <w:r w:rsidRPr="007936D7">
        <w:rPr>
          <w:rFonts w:ascii="PingFang SC" w:eastAsia="PingFang SC" w:hAnsi="PingFang SC" w:cs="宋体" w:hint="eastAsia"/>
          <w:color w:val="000000"/>
          <w:kern w:val="0"/>
          <w:sz w:val="27"/>
          <w:szCs w:val="27"/>
        </w:rPr>
        <w:t>（弁明の場合の証拠書類等の目録）</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50" w:name="JUMP_SEQ_77"/>
      <w:bookmarkEnd w:id="149"/>
      <w:bookmarkEnd w:id="150"/>
      <w:r w:rsidRPr="007936D7">
        <w:rPr>
          <w:rFonts w:ascii="PingFang SC" w:eastAsia="PingFang SC" w:hAnsi="PingFang SC" w:cs="宋体" w:hint="eastAsia"/>
          <w:b/>
          <w:bCs/>
          <w:color w:val="000000"/>
          <w:kern w:val="0"/>
          <w:sz w:val="27"/>
          <w:szCs w:val="27"/>
        </w:rPr>
        <w:lastRenderedPageBreak/>
        <w:t>第16条</w:t>
      </w:r>
      <w:r w:rsidRPr="007936D7">
        <w:rPr>
          <w:rFonts w:ascii="PingFang SC" w:eastAsia="PingFang SC" w:hAnsi="PingFang SC" w:cs="宋体" w:hint="eastAsia"/>
          <w:color w:val="000000"/>
          <w:kern w:val="0"/>
          <w:sz w:val="27"/>
          <w:szCs w:val="27"/>
        </w:rPr>
        <w:t xml:space="preserve">　第10条の規定は、法第29条第２項の規定による証拠書類等の提出について準用する。この場合において、第10条中「主宰者」とあるのは「行政庁」と、同条第１項中「法第20条第２項及び法第21条第１項」とあるのは「法第29条第２項」と読み替えるものと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51" w:name="JUMP_SEQ_78"/>
      <w:bookmarkStart w:id="152" w:name="MOKUJI_48"/>
      <w:bookmarkStart w:id="153" w:name="JUMP_JYO_17_0_0"/>
      <w:bookmarkEnd w:id="151"/>
      <w:bookmarkEnd w:id="152"/>
      <w:r w:rsidRPr="007936D7">
        <w:rPr>
          <w:rFonts w:ascii="PingFang SC" w:eastAsia="PingFang SC" w:hAnsi="PingFang SC" w:cs="宋体" w:hint="eastAsia"/>
          <w:color w:val="000000"/>
          <w:kern w:val="0"/>
          <w:sz w:val="27"/>
          <w:szCs w:val="27"/>
        </w:rPr>
        <w:t>（口頭による弁明の聴取）</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54" w:name="JUMP_SEQ_79"/>
      <w:bookmarkEnd w:id="154"/>
      <w:r w:rsidRPr="007936D7">
        <w:rPr>
          <w:rFonts w:ascii="PingFang SC" w:eastAsia="PingFang SC" w:hAnsi="PingFang SC" w:cs="宋体" w:hint="eastAsia"/>
          <w:b/>
          <w:bCs/>
          <w:color w:val="000000"/>
          <w:kern w:val="0"/>
          <w:sz w:val="27"/>
          <w:szCs w:val="27"/>
        </w:rPr>
        <w:t>第17条</w:t>
      </w:r>
      <w:r w:rsidRPr="007936D7">
        <w:rPr>
          <w:rFonts w:ascii="PingFang SC" w:eastAsia="PingFang SC" w:hAnsi="PingFang SC" w:cs="宋体" w:hint="eastAsia"/>
          <w:color w:val="000000"/>
          <w:kern w:val="0"/>
          <w:sz w:val="27"/>
          <w:szCs w:val="27"/>
        </w:rPr>
        <w:t xml:space="preserve">　行政庁は、法第29条第１項の規定により口頭による弁明を認めたときは、当該行政庁の職員のうちから弁明を聴取する者（以下この条において「弁明聴取者」という。）を指名しなければならない。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55" w:name="JUMP_SEQ_80"/>
      <w:bookmarkStart w:id="156" w:name="MOKUJI_49"/>
      <w:bookmarkEnd w:id="155"/>
      <w:bookmarkEnd w:id="156"/>
      <w:r w:rsidRPr="007936D7">
        <w:rPr>
          <w:rFonts w:ascii="PingFang SC" w:eastAsia="PingFang SC" w:hAnsi="PingFang SC" w:cs="宋体" w:hint="eastAsia"/>
          <w:color w:val="000000"/>
          <w:kern w:val="0"/>
          <w:sz w:val="27"/>
          <w:szCs w:val="27"/>
        </w:rPr>
        <w:t>２　弁明聴取者は、弁明の日時の冒頭において、予定される不利益処分の内容及び根拠となる法令の条項並びにその原因となる事実を弁明の日時に出頭した弁明者に説明しなければならない。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57" w:name="JUMP_SEQ_81"/>
      <w:bookmarkStart w:id="158" w:name="MOKUJI_50"/>
      <w:bookmarkEnd w:id="157"/>
      <w:bookmarkEnd w:id="158"/>
      <w:r w:rsidRPr="007936D7">
        <w:rPr>
          <w:rFonts w:ascii="PingFang SC" w:eastAsia="PingFang SC" w:hAnsi="PingFang SC" w:cs="宋体" w:hint="eastAsia"/>
          <w:color w:val="000000"/>
          <w:kern w:val="0"/>
          <w:sz w:val="27"/>
          <w:szCs w:val="27"/>
        </w:rPr>
        <w:t>３　弁明聴取者は、口頭による弁明を聴取したときは、次に掲げる事項を記載した調書を作成し、これを弁明者に確認しなければならない。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59" w:name="JUMP_SEQ_82"/>
      <w:bookmarkEnd w:id="47"/>
      <w:bookmarkEnd w:id="159"/>
      <w:r w:rsidRPr="007936D7">
        <w:rPr>
          <w:rFonts w:ascii="PingFang SC" w:eastAsia="PingFang SC" w:hAnsi="PingFang SC" w:cs="宋体" w:hint="eastAsia"/>
          <w:color w:val="000000"/>
          <w:kern w:val="0"/>
          <w:sz w:val="27"/>
          <w:szCs w:val="27"/>
        </w:rPr>
        <w:t>(１)　弁明の件名</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60" w:name="JUMP_SEQ_83"/>
      <w:bookmarkEnd w:id="49"/>
      <w:bookmarkEnd w:id="160"/>
      <w:r w:rsidRPr="007936D7">
        <w:rPr>
          <w:rFonts w:ascii="PingFang SC" w:eastAsia="PingFang SC" w:hAnsi="PingFang SC" w:cs="宋体" w:hint="eastAsia"/>
          <w:color w:val="000000"/>
          <w:kern w:val="0"/>
          <w:sz w:val="27"/>
          <w:szCs w:val="27"/>
        </w:rPr>
        <w:t>(２)　弁明の日時及び場所</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61" w:name="JUMP_SEQ_84"/>
      <w:bookmarkEnd w:id="51"/>
      <w:bookmarkEnd w:id="161"/>
      <w:r w:rsidRPr="007936D7">
        <w:rPr>
          <w:rFonts w:ascii="PingFang SC" w:eastAsia="PingFang SC" w:hAnsi="PingFang SC" w:cs="宋体" w:hint="eastAsia"/>
          <w:color w:val="000000"/>
          <w:kern w:val="0"/>
          <w:sz w:val="27"/>
          <w:szCs w:val="27"/>
        </w:rPr>
        <w:t>(３)　弁明聴取者の氏名及び職名</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62" w:name="JUMP_SEQ_85"/>
      <w:bookmarkEnd w:id="114"/>
      <w:bookmarkEnd w:id="162"/>
      <w:r w:rsidRPr="007936D7">
        <w:rPr>
          <w:rFonts w:ascii="PingFang SC" w:eastAsia="PingFang SC" w:hAnsi="PingFang SC" w:cs="宋体" w:hint="eastAsia"/>
          <w:color w:val="000000"/>
          <w:kern w:val="0"/>
          <w:sz w:val="27"/>
          <w:szCs w:val="27"/>
        </w:rPr>
        <w:t>(４)　弁明者の氏名及び住所</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63" w:name="JUMP_SEQ_86"/>
      <w:bookmarkEnd w:id="30"/>
      <w:bookmarkEnd w:id="116"/>
      <w:bookmarkEnd w:id="163"/>
      <w:r w:rsidRPr="007936D7">
        <w:rPr>
          <w:rFonts w:ascii="PingFang SC" w:eastAsia="PingFang SC" w:hAnsi="PingFang SC" w:cs="宋体" w:hint="eastAsia"/>
          <w:color w:val="000000"/>
          <w:kern w:val="0"/>
          <w:sz w:val="27"/>
          <w:szCs w:val="27"/>
        </w:rPr>
        <w:t>(５)　弁明者の弁明の要旨</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64" w:name="JUMP_SEQ_87"/>
      <w:bookmarkStart w:id="165" w:name="MOKUJI_51"/>
      <w:bookmarkEnd w:id="41"/>
      <w:bookmarkEnd w:id="164"/>
      <w:bookmarkEnd w:id="165"/>
      <w:r w:rsidRPr="007936D7">
        <w:rPr>
          <w:rFonts w:ascii="PingFang SC" w:eastAsia="PingFang SC" w:hAnsi="PingFang SC" w:cs="宋体" w:hint="eastAsia"/>
          <w:color w:val="000000"/>
          <w:kern w:val="0"/>
          <w:sz w:val="27"/>
          <w:szCs w:val="27"/>
        </w:rPr>
        <w:lastRenderedPageBreak/>
        <w:t>４　第13条第２項の規定は、前項の調書について準用する。この場合において、同項中「主宰者」とあるのは、「弁明聴取者」と読み替えるものとする。</w:t>
      </w:r>
    </w:p>
    <w:p w:rsidR="007936D7" w:rsidRPr="007936D7" w:rsidRDefault="007936D7" w:rsidP="007936D7">
      <w:pPr>
        <w:widowControl/>
        <w:jc w:val="left"/>
        <w:rPr>
          <w:rFonts w:ascii="PingFang SC" w:eastAsia="PingFang SC" w:hAnsi="PingFang SC" w:cs="宋体" w:hint="eastAsia"/>
          <w:i/>
          <w:iCs/>
          <w:color w:val="800000"/>
          <w:kern w:val="0"/>
          <w:sz w:val="27"/>
          <w:szCs w:val="27"/>
        </w:rPr>
      </w:pPr>
      <w:bookmarkStart w:id="166" w:name="JUMP_SEQ_88"/>
      <w:bookmarkEnd w:id="153"/>
      <w:bookmarkEnd w:id="166"/>
      <w:r w:rsidRPr="007936D7">
        <w:rPr>
          <w:rFonts w:ascii="PingFang SC" w:eastAsia="PingFang SC" w:hAnsi="PingFang SC" w:cs="宋体" w:hint="eastAsia"/>
          <w:i/>
          <w:iCs/>
          <w:color w:val="800000"/>
          <w:kern w:val="0"/>
          <w:sz w:val="27"/>
          <w:szCs w:val="27"/>
        </w:rPr>
        <w:t>一部改正〔令和３年規則80号〕</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67" w:name="JUMP_SEQ_89"/>
      <w:bookmarkStart w:id="168" w:name="MOKUJI_52"/>
      <w:bookmarkStart w:id="169" w:name="JUMP_JYO_18_0_0"/>
      <w:bookmarkEnd w:id="167"/>
      <w:bookmarkEnd w:id="168"/>
      <w:r w:rsidRPr="007936D7">
        <w:rPr>
          <w:rFonts w:ascii="PingFang SC" w:eastAsia="PingFang SC" w:hAnsi="PingFang SC" w:cs="宋体" w:hint="eastAsia"/>
          <w:color w:val="000000"/>
          <w:kern w:val="0"/>
          <w:sz w:val="27"/>
          <w:szCs w:val="27"/>
        </w:rPr>
        <w:t>（弁明書が提出されない場合等の措置）</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70" w:name="JUMP_SEQ_90"/>
      <w:bookmarkEnd w:id="169"/>
      <w:bookmarkEnd w:id="170"/>
      <w:r w:rsidRPr="007936D7">
        <w:rPr>
          <w:rFonts w:ascii="PingFang SC" w:eastAsia="PingFang SC" w:hAnsi="PingFang SC" w:cs="宋体" w:hint="eastAsia"/>
          <w:b/>
          <w:bCs/>
          <w:color w:val="000000"/>
          <w:kern w:val="0"/>
          <w:sz w:val="27"/>
          <w:szCs w:val="27"/>
        </w:rPr>
        <w:t>第18条</w:t>
      </w:r>
      <w:r w:rsidRPr="007936D7">
        <w:rPr>
          <w:rFonts w:ascii="PingFang SC" w:eastAsia="PingFang SC" w:hAnsi="PingFang SC" w:cs="宋体" w:hint="eastAsia"/>
          <w:color w:val="000000"/>
          <w:kern w:val="0"/>
          <w:sz w:val="27"/>
          <w:szCs w:val="27"/>
        </w:rPr>
        <w:t xml:space="preserve">　行政庁は、弁明者が、弁明書の提出期限までに弁明書を提出しない場合、又は弁明の日時に出頭しない場合は、改めて弁明の機会の付与を行うことを要しない。</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71" w:name="JUMP_SEQ_91"/>
      <w:bookmarkStart w:id="172" w:name="MOKUJI_53"/>
      <w:bookmarkStart w:id="173" w:name="JUMP_JYO_19_0_0"/>
      <w:bookmarkEnd w:id="171"/>
      <w:bookmarkEnd w:id="172"/>
      <w:r w:rsidRPr="007936D7">
        <w:rPr>
          <w:rFonts w:ascii="PingFang SC" w:eastAsia="PingFang SC" w:hAnsi="PingFang SC" w:cs="宋体" w:hint="eastAsia"/>
          <w:color w:val="000000"/>
          <w:kern w:val="0"/>
          <w:sz w:val="27"/>
          <w:szCs w:val="27"/>
        </w:rPr>
        <w:t>（準用規定）</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74" w:name="JUMP_SEQ_92"/>
      <w:bookmarkEnd w:id="174"/>
      <w:r w:rsidRPr="007936D7">
        <w:rPr>
          <w:rFonts w:ascii="PingFang SC" w:eastAsia="PingFang SC" w:hAnsi="PingFang SC" w:cs="宋体" w:hint="eastAsia"/>
          <w:b/>
          <w:bCs/>
          <w:color w:val="000000"/>
          <w:kern w:val="0"/>
          <w:sz w:val="27"/>
          <w:szCs w:val="27"/>
          <w:lang w:eastAsia="ja-JP"/>
        </w:rPr>
        <w:t>第19条</w:t>
      </w:r>
      <w:r w:rsidRPr="007936D7">
        <w:rPr>
          <w:rFonts w:ascii="PingFang SC" w:eastAsia="PingFang SC" w:hAnsi="PingFang SC" w:cs="宋体" w:hint="eastAsia"/>
          <w:color w:val="000000"/>
          <w:kern w:val="0"/>
          <w:sz w:val="27"/>
          <w:szCs w:val="27"/>
          <w:lang w:eastAsia="ja-JP"/>
        </w:rPr>
        <w:t xml:space="preserve">　この規則（第１条第１項を除く。）の規定は、神奈川県行政手続条例（平成７年神奈川県条例第１号）第３章第２節及び第３節の規定による聴聞及び弁明の機会の付与に関する手続について準用する。この場合において、第２条中「行政手続法（以下「法」という。</w:t>
      </w:r>
      <w:r w:rsidRPr="007936D7">
        <w:rPr>
          <w:rFonts w:ascii="PingFang SC" w:eastAsia="PingFang SC" w:hAnsi="PingFang SC" w:cs="宋体" w:hint="eastAsia"/>
          <w:color w:val="000000"/>
          <w:kern w:val="0"/>
          <w:sz w:val="27"/>
          <w:szCs w:val="27"/>
        </w:rPr>
        <w:t>）」とあるのは「神奈川県行政手続条例（以下「条例」という。）」と、第３条第３項、第４条（第３項を除く。）、第６条第１項、第７条第１項、第９条第１項及び第３項、第10条第１項、第13条第１項及び第３項並びに第14条第１項中「法」とあるのは「条例」と、第15条第１項中「法第30条」とあるのは「条例第28条」と、同条第２項中「法第31条」とあるのは「条例第29条」と、「法第15条第３項」とあるのは「条例第15条第３項」と、第16条中「法第29条第２項」とあるのは「条例第27条第２項」と、「法第20条第２項及び法第21条第１項」とあるのは「条例第20</w:t>
      </w:r>
      <w:r w:rsidRPr="007936D7">
        <w:rPr>
          <w:rFonts w:ascii="PingFang SC" w:eastAsia="PingFang SC" w:hAnsi="PingFang SC" w:cs="宋体" w:hint="eastAsia"/>
          <w:color w:val="000000"/>
          <w:kern w:val="0"/>
          <w:sz w:val="27"/>
          <w:szCs w:val="27"/>
        </w:rPr>
        <w:lastRenderedPageBreak/>
        <w:t>条第２項及び条例第21条第１項」と、第17条第１項中「法第29条第１項」とあるのは「条例第27条第１項」と読み替えるものとする。</w:t>
      </w:r>
    </w:p>
    <w:p w:rsidR="007936D7" w:rsidRPr="007936D7" w:rsidRDefault="007936D7" w:rsidP="007936D7">
      <w:pPr>
        <w:widowControl/>
        <w:jc w:val="left"/>
        <w:rPr>
          <w:rFonts w:ascii="PingFang SC" w:eastAsia="PingFang SC" w:hAnsi="PingFang SC" w:cs="宋体" w:hint="eastAsia"/>
          <w:i/>
          <w:iCs/>
          <w:color w:val="800000"/>
          <w:kern w:val="0"/>
          <w:sz w:val="27"/>
          <w:szCs w:val="27"/>
        </w:rPr>
      </w:pPr>
      <w:bookmarkStart w:id="175" w:name="JUMP_SEQ_93"/>
      <w:bookmarkEnd w:id="173"/>
      <w:bookmarkEnd w:id="175"/>
      <w:r w:rsidRPr="007936D7">
        <w:rPr>
          <w:rFonts w:ascii="PingFang SC" w:eastAsia="PingFang SC" w:hAnsi="PingFang SC" w:cs="宋体" w:hint="eastAsia"/>
          <w:i/>
          <w:iCs/>
          <w:color w:val="800000"/>
          <w:kern w:val="0"/>
          <w:sz w:val="27"/>
          <w:szCs w:val="27"/>
        </w:rPr>
        <w:t>追加〔平成７年規則47号〕</w:t>
      </w:r>
    </w:p>
    <w:p w:rsidR="007936D7" w:rsidRPr="007936D7" w:rsidRDefault="007936D7" w:rsidP="007936D7">
      <w:pPr>
        <w:widowControl/>
        <w:jc w:val="left"/>
        <w:rPr>
          <w:rFonts w:ascii="PingFang SC" w:eastAsia="PingFang SC" w:hAnsi="PingFang SC" w:cs="宋体" w:hint="eastAsia"/>
          <w:color w:val="000000"/>
          <w:kern w:val="0"/>
          <w:sz w:val="27"/>
          <w:szCs w:val="27"/>
        </w:rPr>
      </w:pPr>
      <w:bookmarkStart w:id="176" w:name="JUMP_SEQ_94"/>
      <w:bookmarkStart w:id="177" w:name="MOKUJI_54"/>
      <w:bookmarkEnd w:id="176"/>
      <w:bookmarkEnd w:id="177"/>
      <w:r w:rsidRPr="007936D7">
        <w:rPr>
          <w:rFonts w:ascii="PingFang SC" w:eastAsia="PingFang SC" w:hAnsi="PingFang SC" w:cs="宋体" w:hint="eastAsia"/>
          <w:color w:val="000000"/>
          <w:kern w:val="0"/>
          <w:sz w:val="27"/>
          <w:szCs w:val="27"/>
        </w:rPr>
        <w:t>附　則</w:t>
      </w:r>
    </w:p>
    <w:p w:rsidR="007936D7" w:rsidRPr="007936D7" w:rsidRDefault="007936D7" w:rsidP="007936D7">
      <w:pPr>
        <w:widowControl/>
        <w:ind w:firstLine="200"/>
        <w:jc w:val="left"/>
        <w:rPr>
          <w:rFonts w:ascii="PingFang SC" w:eastAsia="PingFang SC" w:hAnsi="PingFang SC" w:cs="宋体" w:hint="eastAsia"/>
          <w:color w:val="000000"/>
          <w:kern w:val="0"/>
          <w:sz w:val="27"/>
          <w:szCs w:val="27"/>
        </w:rPr>
      </w:pPr>
      <w:bookmarkStart w:id="178" w:name="JUMP_SEQ_95"/>
      <w:bookmarkEnd w:id="178"/>
      <w:r w:rsidRPr="007936D7">
        <w:rPr>
          <w:rFonts w:ascii="PingFang SC" w:eastAsia="PingFang SC" w:hAnsi="PingFang SC" w:cs="宋体" w:hint="eastAsia"/>
          <w:color w:val="000000"/>
          <w:kern w:val="0"/>
          <w:sz w:val="27"/>
          <w:szCs w:val="27"/>
        </w:rPr>
        <w:t>この規則は、平成６年10月１日から施行する。</w:t>
      </w:r>
    </w:p>
    <w:p w:rsidR="007936D7" w:rsidRPr="007936D7" w:rsidRDefault="007936D7" w:rsidP="007936D7">
      <w:pPr>
        <w:widowControl/>
        <w:jc w:val="left"/>
        <w:rPr>
          <w:rFonts w:ascii="PingFang SC" w:eastAsia="PingFang SC" w:hAnsi="PingFang SC" w:cs="宋体" w:hint="eastAsia"/>
          <w:color w:val="000000"/>
          <w:kern w:val="0"/>
          <w:sz w:val="27"/>
          <w:szCs w:val="27"/>
        </w:rPr>
      </w:pPr>
      <w:bookmarkStart w:id="179" w:name="JUMP_SEQ_96"/>
      <w:bookmarkStart w:id="180" w:name="MOKUJI_55"/>
      <w:bookmarkStart w:id="181" w:name="JUMP_SEQ_97"/>
      <w:bookmarkStart w:id="182" w:name="MOKUJI_56"/>
      <w:bookmarkStart w:id="183" w:name="JUMP_FUSOKU_CODE_40790200004700000000"/>
      <w:bookmarkEnd w:id="179"/>
      <w:bookmarkEnd w:id="180"/>
      <w:bookmarkEnd w:id="181"/>
      <w:bookmarkEnd w:id="182"/>
      <w:r w:rsidRPr="007936D7">
        <w:rPr>
          <w:rFonts w:ascii="PingFang SC" w:eastAsia="PingFang SC" w:hAnsi="PingFang SC" w:cs="宋体" w:hint="eastAsia"/>
          <w:color w:val="000000"/>
          <w:kern w:val="0"/>
          <w:sz w:val="27"/>
          <w:szCs w:val="27"/>
        </w:rPr>
        <w:t>附　則（平成７年３月31日規則第47号）</w:t>
      </w:r>
    </w:p>
    <w:p w:rsidR="007936D7" w:rsidRPr="007936D7" w:rsidRDefault="007936D7" w:rsidP="007936D7">
      <w:pPr>
        <w:widowControl/>
        <w:ind w:firstLine="200"/>
        <w:jc w:val="left"/>
        <w:rPr>
          <w:rFonts w:ascii="PingFang SC" w:eastAsia="PingFang SC" w:hAnsi="PingFang SC" w:cs="宋体" w:hint="eastAsia"/>
          <w:color w:val="000000"/>
          <w:kern w:val="0"/>
          <w:sz w:val="27"/>
          <w:szCs w:val="27"/>
        </w:rPr>
      </w:pPr>
      <w:bookmarkStart w:id="184" w:name="JUMP_SEQ_98"/>
      <w:bookmarkEnd w:id="183"/>
      <w:bookmarkEnd w:id="184"/>
      <w:r w:rsidRPr="007936D7">
        <w:rPr>
          <w:rFonts w:ascii="PingFang SC" w:eastAsia="PingFang SC" w:hAnsi="PingFang SC" w:cs="宋体" w:hint="eastAsia"/>
          <w:color w:val="000000"/>
          <w:kern w:val="0"/>
          <w:sz w:val="27"/>
          <w:szCs w:val="27"/>
        </w:rPr>
        <w:t>この規則は、平成７年７月１日から施行する。</w:t>
      </w:r>
    </w:p>
    <w:p w:rsidR="007936D7" w:rsidRPr="007936D7" w:rsidRDefault="007936D7" w:rsidP="007936D7">
      <w:pPr>
        <w:widowControl/>
        <w:jc w:val="left"/>
        <w:rPr>
          <w:rFonts w:ascii="PingFang SC" w:eastAsia="PingFang SC" w:hAnsi="PingFang SC" w:cs="宋体" w:hint="eastAsia"/>
          <w:color w:val="000000"/>
          <w:kern w:val="0"/>
          <w:sz w:val="27"/>
          <w:szCs w:val="27"/>
        </w:rPr>
      </w:pPr>
      <w:bookmarkStart w:id="185" w:name="JUMP_SEQ_99"/>
      <w:bookmarkStart w:id="186" w:name="MOKUJI_57"/>
      <w:bookmarkStart w:id="187" w:name="JUMP_FUSOKU_CODE_50390200008000000000"/>
      <w:bookmarkEnd w:id="185"/>
      <w:bookmarkEnd w:id="186"/>
      <w:r w:rsidRPr="007936D7">
        <w:rPr>
          <w:rFonts w:ascii="PingFang SC" w:eastAsia="PingFang SC" w:hAnsi="PingFang SC" w:cs="宋体" w:hint="eastAsia"/>
          <w:color w:val="000000"/>
          <w:kern w:val="0"/>
          <w:sz w:val="27"/>
          <w:szCs w:val="27"/>
        </w:rPr>
        <w:t>附　則（令和３年９月28日規則第80号）</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88" w:name="JUMP_SEQ_100"/>
      <w:bookmarkStart w:id="189" w:name="MOKUJI_58"/>
      <w:bookmarkEnd w:id="14"/>
      <w:bookmarkEnd w:id="188"/>
      <w:bookmarkEnd w:id="189"/>
      <w:r w:rsidRPr="007936D7">
        <w:rPr>
          <w:rFonts w:ascii="PingFang SC" w:eastAsia="PingFang SC" w:hAnsi="PingFang SC" w:cs="宋体" w:hint="eastAsia"/>
          <w:color w:val="000000"/>
          <w:kern w:val="0"/>
          <w:sz w:val="27"/>
          <w:szCs w:val="27"/>
        </w:rPr>
        <w:t>１　この規則は、公布の日から施行する。</w:t>
      </w:r>
    </w:p>
    <w:p w:rsidR="007936D7" w:rsidRPr="007936D7" w:rsidRDefault="007936D7" w:rsidP="007936D7">
      <w:pPr>
        <w:widowControl/>
        <w:ind w:hanging="200"/>
        <w:jc w:val="left"/>
        <w:rPr>
          <w:rFonts w:ascii="PingFang SC" w:eastAsia="PingFang SC" w:hAnsi="PingFang SC" w:cs="宋体" w:hint="eastAsia"/>
          <w:color w:val="000000"/>
          <w:kern w:val="0"/>
          <w:sz w:val="27"/>
          <w:szCs w:val="27"/>
        </w:rPr>
      </w:pPr>
      <w:bookmarkStart w:id="190" w:name="JUMP_SEQ_101"/>
      <w:bookmarkStart w:id="191" w:name="MOKUJI_59"/>
      <w:bookmarkEnd w:id="17"/>
      <w:bookmarkEnd w:id="187"/>
      <w:bookmarkEnd w:id="190"/>
      <w:bookmarkEnd w:id="191"/>
      <w:r w:rsidRPr="007936D7">
        <w:rPr>
          <w:rFonts w:ascii="PingFang SC" w:eastAsia="PingFang SC" w:hAnsi="PingFang SC" w:cs="宋体" w:hint="eastAsia"/>
          <w:color w:val="000000"/>
          <w:kern w:val="0"/>
          <w:sz w:val="27"/>
          <w:szCs w:val="27"/>
        </w:rPr>
        <w:t>２　この規則による改正前の各規則に定める様式に基づいて作成した用紙は、なお当分の間、必要な調整をして使用することができる。</w:t>
      </w:r>
    </w:p>
    <w:p w:rsidR="007936D7" w:rsidRDefault="007936D7">
      <w:bookmarkStart w:id="192" w:name="_GoBack"/>
      <w:bookmarkEnd w:id="192"/>
    </w:p>
    <w:p w:rsidR="007936D7" w:rsidRDefault="007936D7"/>
    <w:p w:rsidR="007936D7" w:rsidRDefault="007936D7"/>
    <w:p w:rsidR="007936D7" w:rsidRDefault="007936D7">
      <w:pPr>
        <w:rPr>
          <w:rFonts w:hint="eastAsia"/>
        </w:rPr>
      </w:pPr>
    </w:p>
    <w:sectPr w:rsidR="007936D7" w:rsidSect="00BD7E92">
      <w:pgSz w:w="11900" w:h="16840"/>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PingFang SC">
    <w:panose1 w:val="020B0400000000000000"/>
    <w:charset w:val="86"/>
    <w:family w:val="swiss"/>
    <w:pitch w:val="variable"/>
    <w:sig w:usb0="A00002FF" w:usb1="7ACFFDFB" w:usb2="00000017"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36D7"/>
    <w:rsid w:val="007936D7"/>
    <w:rsid w:val="00BD7E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7B7FC5"/>
  <w15:chartTrackingRefBased/>
  <w15:docId w15:val="{06ACE9CF-A222-8E47-A56D-84DC5385A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936D7"/>
    <w:pPr>
      <w:widowControl/>
      <w:spacing w:before="100" w:beforeAutospacing="1" w:after="100" w:afterAutospacing="1"/>
      <w:jc w:val="left"/>
    </w:pPr>
    <w:rPr>
      <w:rFonts w:ascii="宋体" w:eastAsia="宋体" w:hAnsi="宋体" w:cs="宋体"/>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6010029">
      <w:bodyDiv w:val="1"/>
      <w:marLeft w:val="0"/>
      <w:marRight w:val="0"/>
      <w:marTop w:val="0"/>
      <w:marBottom w:val="0"/>
      <w:divBdr>
        <w:top w:val="none" w:sz="0" w:space="0" w:color="auto"/>
        <w:left w:val="none" w:sz="0" w:space="0" w:color="auto"/>
        <w:bottom w:val="none" w:sz="0" w:space="0" w:color="auto"/>
        <w:right w:val="none" w:sz="0" w:space="0" w:color="auto"/>
      </w:divBdr>
      <w:divsChild>
        <w:div w:id="1537045053">
          <w:marLeft w:val="800"/>
          <w:marRight w:val="0"/>
          <w:marTop w:val="0"/>
          <w:marBottom w:val="0"/>
          <w:divBdr>
            <w:top w:val="none" w:sz="0" w:space="0" w:color="auto"/>
            <w:left w:val="none" w:sz="0" w:space="0" w:color="auto"/>
            <w:bottom w:val="none" w:sz="0" w:space="0" w:color="auto"/>
            <w:right w:val="none" w:sz="0" w:space="0" w:color="auto"/>
          </w:divBdr>
        </w:div>
        <w:div w:id="1083070911">
          <w:marLeft w:val="5000"/>
          <w:marRight w:val="0"/>
          <w:marTop w:val="0"/>
          <w:marBottom w:val="0"/>
          <w:divBdr>
            <w:top w:val="none" w:sz="0" w:space="0" w:color="auto"/>
            <w:left w:val="none" w:sz="0" w:space="0" w:color="auto"/>
            <w:bottom w:val="none" w:sz="0" w:space="0" w:color="auto"/>
            <w:right w:val="none" w:sz="0" w:space="0" w:color="auto"/>
          </w:divBdr>
        </w:div>
        <w:div w:id="1543512792">
          <w:marLeft w:val="1200"/>
          <w:marRight w:val="0"/>
          <w:marTop w:val="0"/>
          <w:marBottom w:val="0"/>
          <w:divBdr>
            <w:top w:val="none" w:sz="0" w:space="0" w:color="auto"/>
            <w:left w:val="none" w:sz="0" w:space="0" w:color="auto"/>
            <w:bottom w:val="none" w:sz="0" w:space="0" w:color="auto"/>
            <w:right w:val="none" w:sz="0" w:space="0" w:color="auto"/>
          </w:divBdr>
        </w:div>
        <w:div w:id="1484658840">
          <w:marLeft w:val="600"/>
          <w:marRight w:val="0"/>
          <w:marTop w:val="0"/>
          <w:marBottom w:val="0"/>
          <w:divBdr>
            <w:top w:val="none" w:sz="0" w:space="0" w:color="auto"/>
            <w:left w:val="none" w:sz="0" w:space="0" w:color="auto"/>
            <w:bottom w:val="none" w:sz="0" w:space="0" w:color="auto"/>
            <w:right w:val="none" w:sz="0" w:space="0" w:color="auto"/>
          </w:divBdr>
        </w:div>
        <w:div w:id="78138183">
          <w:marLeft w:val="200"/>
          <w:marRight w:val="0"/>
          <w:marTop w:val="0"/>
          <w:marBottom w:val="0"/>
          <w:divBdr>
            <w:top w:val="none" w:sz="0" w:space="0" w:color="auto"/>
            <w:left w:val="none" w:sz="0" w:space="0" w:color="auto"/>
            <w:bottom w:val="none" w:sz="0" w:space="0" w:color="auto"/>
            <w:right w:val="none" w:sz="0" w:space="0" w:color="auto"/>
          </w:divBdr>
        </w:div>
        <w:div w:id="115876790">
          <w:marLeft w:val="200"/>
          <w:marRight w:val="0"/>
          <w:marTop w:val="0"/>
          <w:marBottom w:val="0"/>
          <w:divBdr>
            <w:top w:val="none" w:sz="0" w:space="0" w:color="auto"/>
            <w:left w:val="none" w:sz="0" w:space="0" w:color="auto"/>
            <w:bottom w:val="none" w:sz="0" w:space="0" w:color="auto"/>
            <w:right w:val="none" w:sz="0" w:space="0" w:color="auto"/>
          </w:divBdr>
        </w:div>
        <w:div w:id="33431711">
          <w:marLeft w:val="200"/>
          <w:marRight w:val="0"/>
          <w:marTop w:val="0"/>
          <w:marBottom w:val="0"/>
          <w:divBdr>
            <w:top w:val="none" w:sz="0" w:space="0" w:color="auto"/>
            <w:left w:val="none" w:sz="0" w:space="0" w:color="auto"/>
            <w:bottom w:val="none" w:sz="0" w:space="0" w:color="auto"/>
            <w:right w:val="none" w:sz="0" w:space="0" w:color="auto"/>
          </w:divBdr>
        </w:div>
        <w:div w:id="164974857">
          <w:marLeft w:val="200"/>
          <w:marRight w:val="0"/>
          <w:marTop w:val="0"/>
          <w:marBottom w:val="0"/>
          <w:divBdr>
            <w:top w:val="none" w:sz="0" w:space="0" w:color="auto"/>
            <w:left w:val="none" w:sz="0" w:space="0" w:color="auto"/>
            <w:bottom w:val="none" w:sz="0" w:space="0" w:color="auto"/>
            <w:right w:val="none" w:sz="0" w:space="0" w:color="auto"/>
          </w:divBdr>
        </w:div>
        <w:div w:id="1452214019">
          <w:marLeft w:val="200"/>
          <w:marRight w:val="0"/>
          <w:marTop w:val="0"/>
          <w:marBottom w:val="0"/>
          <w:divBdr>
            <w:top w:val="none" w:sz="0" w:space="0" w:color="auto"/>
            <w:left w:val="none" w:sz="0" w:space="0" w:color="auto"/>
            <w:bottom w:val="none" w:sz="0" w:space="0" w:color="auto"/>
            <w:right w:val="none" w:sz="0" w:space="0" w:color="auto"/>
          </w:divBdr>
        </w:div>
        <w:div w:id="3486126">
          <w:marLeft w:val="200"/>
          <w:marRight w:val="0"/>
          <w:marTop w:val="0"/>
          <w:marBottom w:val="0"/>
          <w:divBdr>
            <w:top w:val="none" w:sz="0" w:space="0" w:color="auto"/>
            <w:left w:val="none" w:sz="0" w:space="0" w:color="auto"/>
            <w:bottom w:val="none" w:sz="0" w:space="0" w:color="auto"/>
            <w:right w:val="none" w:sz="0" w:space="0" w:color="auto"/>
          </w:divBdr>
        </w:div>
        <w:div w:id="55250461">
          <w:marLeft w:val="200"/>
          <w:marRight w:val="0"/>
          <w:marTop w:val="0"/>
          <w:marBottom w:val="0"/>
          <w:divBdr>
            <w:top w:val="none" w:sz="0" w:space="0" w:color="auto"/>
            <w:left w:val="none" w:sz="0" w:space="0" w:color="auto"/>
            <w:bottom w:val="none" w:sz="0" w:space="0" w:color="auto"/>
            <w:right w:val="none" w:sz="0" w:space="0" w:color="auto"/>
          </w:divBdr>
        </w:div>
        <w:div w:id="2074157989">
          <w:marLeft w:val="200"/>
          <w:marRight w:val="0"/>
          <w:marTop w:val="0"/>
          <w:marBottom w:val="0"/>
          <w:divBdr>
            <w:top w:val="none" w:sz="0" w:space="0" w:color="auto"/>
            <w:left w:val="none" w:sz="0" w:space="0" w:color="auto"/>
            <w:bottom w:val="none" w:sz="0" w:space="0" w:color="auto"/>
            <w:right w:val="none" w:sz="0" w:space="0" w:color="auto"/>
          </w:divBdr>
        </w:div>
        <w:div w:id="114179039">
          <w:marLeft w:val="200"/>
          <w:marRight w:val="0"/>
          <w:marTop w:val="0"/>
          <w:marBottom w:val="0"/>
          <w:divBdr>
            <w:top w:val="none" w:sz="0" w:space="0" w:color="auto"/>
            <w:left w:val="none" w:sz="0" w:space="0" w:color="auto"/>
            <w:bottom w:val="none" w:sz="0" w:space="0" w:color="auto"/>
            <w:right w:val="none" w:sz="0" w:space="0" w:color="auto"/>
          </w:divBdr>
        </w:div>
        <w:div w:id="32393114">
          <w:marLeft w:val="200"/>
          <w:marRight w:val="0"/>
          <w:marTop w:val="0"/>
          <w:marBottom w:val="0"/>
          <w:divBdr>
            <w:top w:val="none" w:sz="0" w:space="0" w:color="auto"/>
            <w:left w:val="none" w:sz="0" w:space="0" w:color="auto"/>
            <w:bottom w:val="none" w:sz="0" w:space="0" w:color="auto"/>
            <w:right w:val="none" w:sz="0" w:space="0" w:color="auto"/>
          </w:divBdr>
        </w:div>
        <w:div w:id="1895851049">
          <w:marLeft w:val="200"/>
          <w:marRight w:val="0"/>
          <w:marTop w:val="0"/>
          <w:marBottom w:val="0"/>
          <w:divBdr>
            <w:top w:val="none" w:sz="0" w:space="0" w:color="auto"/>
            <w:left w:val="none" w:sz="0" w:space="0" w:color="auto"/>
            <w:bottom w:val="none" w:sz="0" w:space="0" w:color="auto"/>
            <w:right w:val="none" w:sz="0" w:space="0" w:color="auto"/>
          </w:divBdr>
        </w:div>
        <w:div w:id="312486640">
          <w:marLeft w:val="200"/>
          <w:marRight w:val="0"/>
          <w:marTop w:val="0"/>
          <w:marBottom w:val="0"/>
          <w:divBdr>
            <w:top w:val="none" w:sz="0" w:space="0" w:color="auto"/>
            <w:left w:val="none" w:sz="0" w:space="0" w:color="auto"/>
            <w:bottom w:val="none" w:sz="0" w:space="0" w:color="auto"/>
            <w:right w:val="none" w:sz="0" w:space="0" w:color="auto"/>
          </w:divBdr>
        </w:div>
        <w:div w:id="1554854570">
          <w:marLeft w:val="200"/>
          <w:marRight w:val="0"/>
          <w:marTop w:val="0"/>
          <w:marBottom w:val="0"/>
          <w:divBdr>
            <w:top w:val="none" w:sz="0" w:space="0" w:color="auto"/>
            <w:left w:val="none" w:sz="0" w:space="0" w:color="auto"/>
            <w:bottom w:val="none" w:sz="0" w:space="0" w:color="auto"/>
            <w:right w:val="none" w:sz="0" w:space="0" w:color="auto"/>
          </w:divBdr>
        </w:div>
        <w:div w:id="1143235164">
          <w:marLeft w:val="200"/>
          <w:marRight w:val="0"/>
          <w:marTop w:val="0"/>
          <w:marBottom w:val="0"/>
          <w:divBdr>
            <w:top w:val="none" w:sz="0" w:space="0" w:color="auto"/>
            <w:left w:val="none" w:sz="0" w:space="0" w:color="auto"/>
            <w:bottom w:val="none" w:sz="0" w:space="0" w:color="auto"/>
            <w:right w:val="none" w:sz="0" w:space="0" w:color="auto"/>
          </w:divBdr>
        </w:div>
        <w:div w:id="1992638221">
          <w:marLeft w:val="200"/>
          <w:marRight w:val="0"/>
          <w:marTop w:val="0"/>
          <w:marBottom w:val="0"/>
          <w:divBdr>
            <w:top w:val="none" w:sz="0" w:space="0" w:color="auto"/>
            <w:left w:val="none" w:sz="0" w:space="0" w:color="auto"/>
            <w:bottom w:val="none" w:sz="0" w:space="0" w:color="auto"/>
            <w:right w:val="none" w:sz="0" w:space="0" w:color="auto"/>
          </w:divBdr>
        </w:div>
        <w:div w:id="2134397977">
          <w:marLeft w:val="200"/>
          <w:marRight w:val="0"/>
          <w:marTop w:val="0"/>
          <w:marBottom w:val="0"/>
          <w:divBdr>
            <w:top w:val="none" w:sz="0" w:space="0" w:color="auto"/>
            <w:left w:val="none" w:sz="0" w:space="0" w:color="auto"/>
            <w:bottom w:val="none" w:sz="0" w:space="0" w:color="auto"/>
            <w:right w:val="none" w:sz="0" w:space="0" w:color="auto"/>
          </w:divBdr>
        </w:div>
        <w:div w:id="1673214812">
          <w:marLeft w:val="400"/>
          <w:marRight w:val="0"/>
          <w:marTop w:val="0"/>
          <w:marBottom w:val="0"/>
          <w:divBdr>
            <w:top w:val="none" w:sz="0" w:space="0" w:color="auto"/>
            <w:left w:val="none" w:sz="0" w:space="0" w:color="auto"/>
            <w:bottom w:val="none" w:sz="0" w:space="0" w:color="auto"/>
            <w:right w:val="none" w:sz="0" w:space="0" w:color="auto"/>
          </w:divBdr>
        </w:div>
        <w:div w:id="1188061800">
          <w:marLeft w:val="400"/>
          <w:marRight w:val="0"/>
          <w:marTop w:val="0"/>
          <w:marBottom w:val="0"/>
          <w:divBdr>
            <w:top w:val="none" w:sz="0" w:space="0" w:color="auto"/>
            <w:left w:val="none" w:sz="0" w:space="0" w:color="auto"/>
            <w:bottom w:val="none" w:sz="0" w:space="0" w:color="auto"/>
            <w:right w:val="none" w:sz="0" w:space="0" w:color="auto"/>
          </w:divBdr>
        </w:div>
        <w:div w:id="1418550121">
          <w:marLeft w:val="400"/>
          <w:marRight w:val="0"/>
          <w:marTop w:val="0"/>
          <w:marBottom w:val="0"/>
          <w:divBdr>
            <w:top w:val="none" w:sz="0" w:space="0" w:color="auto"/>
            <w:left w:val="none" w:sz="0" w:space="0" w:color="auto"/>
            <w:bottom w:val="none" w:sz="0" w:space="0" w:color="auto"/>
            <w:right w:val="none" w:sz="0" w:space="0" w:color="auto"/>
          </w:divBdr>
        </w:div>
        <w:div w:id="2110656611">
          <w:marLeft w:val="200"/>
          <w:marRight w:val="0"/>
          <w:marTop w:val="0"/>
          <w:marBottom w:val="0"/>
          <w:divBdr>
            <w:top w:val="none" w:sz="0" w:space="0" w:color="auto"/>
            <w:left w:val="none" w:sz="0" w:space="0" w:color="auto"/>
            <w:bottom w:val="none" w:sz="0" w:space="0" w:color="auto"/>
            <w:right w:val="none" w:sz="0" w:space="0" w:color="auto"/>
          </w:divBdr>
        </w:div>
        <w:div w:id="1026447708">
          <w:marLeft w:val="200"/>
          <w:marRight w:val="0"/>
          <w:marTop w:val="0"/>
          <w:marBottom w:val="0"/>
          <w:divBdr>
            <w:top w:val="none" w:sz="0" w:space="0" w:color="auto"/>
            <w:left w:val="none" w:sz="0" w:space="0" w:color="auto"/>
            <w:bottom w:val="none" w:sz="0" w:space="0" w:color="auto"/>
            <w:right w:val="none" w:sz="0" w:space="0" w:color="auto"/>
          </w:divBdr>
        </w:div>
        <w:div w:id="1191845883">
          <w:marLeft w:val="200"/>
          <w:marRight w:val="0"/>
          <w:marTop w:val="0"/>
          <w:marBottom w:val="0"/>
          <w:divBdr>
            <w:top w:val="none" w:sz="0" w:space="0" w:color="auto"/>
            <w:left w:val="none" w:sz="0" w:space="0" w:color="auto"/>
            <w:bottom w:val="none" w:sz="0" w:space="0" w:color="auto"/>
            <w:right w:val="none" w:sz="0" w:space="0" w:color="auto"/>
          </w:divBdr>
        </w:div>
        <w:div w:id="1654527462">
          <w:marLeft w:val="200"/>
          <w:marRight w:val="0"/>
          <w:marTop w:val="0"/>
          <w:marBottom w:val="0"/>
          <w:divBdr>
            <w:top w:val="none" w:sz="0" w:space="0" w:color="auto"/>
            <w:left w:val="none" w:sz="0" w:space="0" w:color="auto"/>
            <w:bottom w:val="none" w:sz="0" w:space="0" w:color="auto"/>
            <w:right w:val="none" w:sz="0" w:space="0" w:color="auto"/>
          </w:divBdr>
        </w:div>
        <w:div w:id="879049075">
          <w:marLeft w:val="200"/>
          <w:marRight w:val="0"/>
          <w:marTop w:val="0"/>
          <w:marBottom w:val="0"/>
          <w:divBdr>
            <w:top w:val="none" w:sz="0" w:space="0" w:color="auto"/>
            <w:left w:val="none" w:sz="0" w:space="0" w:color="auto"/>
            <w:bottom w:val="none" w:sz="0" w:space="0" w:color="auto"/>
            <w:right w:val="none" w:sz="0" w:space="0" w:color="auto"/>
          </w:divBdr>
        </w:div>
        <w:div w:id="291903409">
          <w:marLeft w:val="200"/>
          <w:marRight w:val="0"/>
          <w:marTop w:val="0"/>
          <w:marBottom w:val="0"/>
          <w:divBdr>
            <w:top w:val="none" w:sz="0" w:space="0" w:color="auto"/>
            <w:left w:val="none" w:sz="0" w:space="0" w:color="auto"/>
            <w:bottom w:val="none" w:sz="0" w:space="0" w:color="auto"/>
            <w:right w:val="none" w:sz="0" w:space="0" w:color="auto"/>
          </w:divBdr>
        </w:div>
        <w:div w:id="2116628794">
          <w:marLeft w:val="200"/>
          <w:marRight w:val="0"/>
          <w:marTop w:val="0"/>
          <w:marBottom w:val="0"/>
          <w:divBdr>
            <w:top w:val="none" w:sz="0" w:space="0" w:color="auto"/>
            <w:left w:val="none" w:sz="0" w:space="0" w:color="auto"/>
            <w:bottom w:val="none" w:sz="0" w:space="0" w:color="auto"/>
            <w:right w:val="none" w:sz="0" w:space="0" w:color="auto"/>
          </w:divBdr>
        </w:div>
        <w:div w:id="601493387">
          <w:marLeft w:val="200"/>
          <w:marRight w:val="0"/>
          <w:marTop w:val="0"/>
          <w:marBottom w:val="0"/>
          <w:divBdr>
            <w:top w:val="none" w:sz="0" w:space="0" w:color="auto"/>
            <w:left w:val="none" w:sz="0" w:space="0" w:color="auto"/>
            <w:bottom w:val="none" w:sz="0" w:space="0" w:color="auto"/>
            <w:right w:val="none" w:sz="0" w:space="0" w:color="auto"/>
          </w:divBdr>
        </w:div>
        <w:div w:id="1640765582">
          <w:marLeft w:val="200"/>
          <w:marRight w:val="0"/>
          <w:marTop w:val="0"/>
          <w:marBottom w:val="0"/>
          <w:divBdr>
            <w:top w:val="none" w:sz="0" w:space="0" w:color="auto"/>
            <w:left w:val="none" w:sz="0" w:space="0" w:color="auto"/>
            <w:bottom w:val="none" w:sz="0" w:space="0" w:color="auto"/>
            <w:right w:val="none" w:sz="0" w:space="0" w:color="auto"/>
          </w:divBdr>
        </w:div>
        <w:div w:id="554121688">
          <w:marLeft w:val="200"/>
          <w:marRight w:val="0"/>
          <w:marTop w:val="0"/>
          <w:marBottom w:val="0"/>
          <w:divBdr>
            <w:top w:val="none" w:sz="0" w:space="0" w:color="auto"/>
            <w:left w:val="none" w:sz="0" w:space="0" w:color="auto"/>
            <w:bottom w:val="none" w:sz="0" w:space="0" w:color="auto"/>
            <w:right w:val="none" w:sz="0" w:space="0" w:color="auto"/>
          </w:divBdr>
        </w:div>
        <w:div w:id="734399054">
          <w:marLeft w:val="200"/>
          <w:marRight w:val="0"/>
          <w:marTop w:val="0"/>
          <w:marBottom w:val="0"/>
          <w:divBdr>
            <w:top w:val="none" w:sz="0" w:space="0" w:color="auto"/>
            <w:left w:val="none" w:sz="0" w:space="0" w:color="auto"/>
            <w:bottom w:val="none" w:sz="0" w:space="0" w:color="auto"/>
            <w:right w:val="none" w:sz="0" w:space="0" w:color="auto"/>
          </w:divBdr>
        </w:div>
        <w:div w:id="1258102961">
          <w:marLeft w:val="200"/>
          <w:marRight w:val="0"/>
          <w:marTop w:val="0"/>
          <w:marBottom w:val="0"/>
          <w:divBdr>
            <w:top w:val="none" w:sz="0" w:space="0" w:color="auto"/>
            <w:left w:val="none" w:sz="0" w:space="0" w:color="auto"/>
            <w:bottom w:val="none" w:sz="0" w:space="0" w:color="auto"/>
            <w:right w:val="none" w:sz="0" w:space="0" w:color="auto"/>
          </w:divBdr>
        </w:div>
        <w:div w:id="858469851">
          <w:marLeft w:val="200"/>
          <w:marRight w:val="0"/>
          <w:marTop w:val="0"/>
          <w:marBottom w:val="0"/>
          <w:divBdr>
            <w:top w:val="none" w:sz="0" w:space="0" w:color="auto"/>
            <w:left w:val="none" w:sz="0" w:space="0" w:color="auto"/>
            <w:bottom w:val="none" w:sz="0" w:space="0" w:color="auto"/>
            <w:right w:val="none" w:sz="0" w:space="0" w:color="auto"/>
          </w:divBdr>
        </w:div>
        <w:div w:id="1031565229">
          <w:marLeft w:val="200"/>
          <w:marRight w:val="0"/>
          <w:marTop w:val="0"/>
          <w:marBottom w:val="0"/>
          <w:divBdr>
            <w:top w:val="none" w:sz="0" w:space="0" w:color="auto"/>
            <w:left w:val="none" w:sz="0" w:space="0" w:color="auto"/>
            <w:bottom w:val="none" w:sz="0" w:space="0" w:color="auto"/>
            <w:right w:val="none" w:sz="0" w:space="0" w:color="auto"/>
          </w:divBdr>
        </w:div>
        <w:div w:id="1622809779">
          <w:marLeft w:val="200"/>
          <w:marRight w:val="0"/>
          <w:marTop w:val="0"/>
          <w:marBottom w:val="0"/>
          <w:divBdr>
            <w:top w:val="none" w:sz="0" w:space="0" w:color="auto"/>
            <w:left w:val="none" w:sz="0" w:space="0" w:color="auto"/>
            <w:bottom w:val="none" w:sz="0" w:space="0" w:color="auto"/>
            <w:right w:val="none" w:sz="0" w:space="0" w:color="auto"/>
          </w:divBdr>
        </w:div>
        <w:div w:id="569579589">
          <w:marLeft w:val="200"/>
          <w:marRight w:val="0"/>
          <w:marTop w:val="0"/>
          <w:marBottom w:val="0"/>
          <w:divBdr>
            <w:top w:val="none" w:sz="0" w:space="0" w:color="auto"/>
            <w:left w:val="none" w:sz="0" w:space="0" w:color="auto"/>
            <w:bottom w:val="none" w:sz="0" w:space="0" w:color="auto"/>
            <w:right w:val="none" w:sz="0" w:space="0" w:color="auto"/>
          </w:divBdr>
        </w:div>
        <w:div w:id="462189168">
          <w:marLeft w:val="200"/>
          <w:marRight w:val="0"/>
          <w:marTop w:val="0"/>
          <w:marBottom w:val="0"/>
          <w:divBdr>
            <w:top w:val="none" w:sz="0" w:space="0" w:color="auto"/>
            <w:left w:val="none" w:sz="0" w:space="0" w:color="auto"/>
            <w:bottom w:val="none" w:sz="0" w:space="0" w:color="auto"/>
            <w:right w:val="none" w:sz="0" w:space="0" w:color="auto"/>
          </w:divBdr>
        </w:div>
        <w:div w:id="1685012524">
          <w:marLeft w:val="200"/>
          <w:marRight w:val="0"/>
          <w:marTop w:val="0"/>
          <w:marBottom w:val="0"/>
          <w:divBdr>
            <w:top w:val="none" w:sz="0" w:space="0" w:color="auto"/>
            <w:left w:val="none" w:sz="0" w:space="0" w:color="auto"/>
            <w:bottom w:val="none" w:sz="0" w:space="0" w:color="auto"/>
            <w:right w:val="none" w:sz="0" w:space="0" w:color="auto"/>
          </w:divBdr>
        </w:div>
        <w:div w:id="1833175332">
          <w:marLeft w:val="200"/>
          <w:marRight w:val="0"/>
          <w:marTop w:val="0"/>
          <w:marBottom w:val="0"/>
          <w:divBdr>
            <w:top w:val="none" w:sz="0" w:space="0" w:color="auto"/>
            <w:left w:val="none" w:sz="0" w:space="0" w:color="auto"/>
            <w:bottom w:val="none" w:sz="0" w:space="0" w:color="auto"/>
            <w:right w:val="none" w:sz="0" w:space="0" w:color="auto"/>
          </w:divBdr>
        </w:div>
        <w:div w:id="770979073">
          <w:marLeft w:val="200"/>
          <w:marRight w:val="0"/>
          <w:marTop w:val="0"/>
          <w:marBottom w:val="0"/>
          <w:divBdr>
            <w:top w:val="none" w:sz="0" w:space="0" w:color="auto"/>
            <w:left w:val="none" w:sz="0" w:space="0" w:color="auto"/>
            <w:bottom w:val="none" w:sz="0" w:space="0" w:color="auto"/>
            <w:right w:val="none" w:sz="0" w:space="0" w:color="auto"/>
          </w:divBdr>
        </w:div>
        <w:div w:id="1878664796">
          <w:marLeft w:val="200"/>
          <w:marRight w:val="0"/>
          <w:marTop w:val="0"/>
          <w:marBottom w:val="0"/>
          <w:divBdr>
            <w:top w:val="none" w:sz="0" w:space="0" w:color="auto"/>
            <w:left w:val="none" w:sz="0" w:space="0" w:color="auto"/>
            <w:bottom w:val="none" w:sz="0" w:space="0" w:color="auto"/>
            <w:right w:val="none" w:sz="0" w:space="0" w:color="auto"/>
          </w:divBdr>
        </w:div>
        <w:div w:id="759522425">
          <w:marLeft w:val="200"/>
          <w:marRight w:val="0"/>
          <w:marTop w:val="0"/>
          <w:marBottom w:val="0"/>
          <w:divBdr>
            <w:top w:val="none" w:sz="0" w:space="0" w:color="auto"/>
            <w:left w:val="none" w:sz="0" w:space="0" w:color="auto"/>
            <w:bottom w:val="none" w:sz="0" w:space="0" w:color="auto"/>
            <w:right w:val="none" w:sz="0" w:space="0" w:color="auto"/>
          </w:divBdr>
        </w:div>
        <w:div w:id="605698221">
          <w:marLeft w:val="200"/>
          <w:marRight w:val="0"/>
          <w:marTop w:val="0"/>
          <w:marBottom w:val="0"/>
          <w:divBdr>
            <w:top w:val="none" w:sz="0" w:space="0" w:color="auto"/>
            <w:left w:val="none" w:sz="0" w:space="0" w:color="auto"/>
            <w:bottom w:val="none" w:sz="0" w:space="0" w:color="auto"/>
            <w:right w:val="none" w:sz="0" w:space="0" w:color="auto"/>
          </w:divBdr>
        </w:div>
        <w:div w:id="1653875705">
          <w:marLeft w:val="200"/>
          <w:marRight w:val="0"/>
          <w:marTop w:val="0"/>
          <w:marBottom w:val="0"/>
          <w:divBdr>
            <w:top w:val="none" w:sz="0" w:space="0" w:color="auto"/>
            <w:left w:val="none" w:sz="0" w:space="0" w:color="auto"/>
            <w:bottom w:val="none" w:sz="0" w:space="0" w:color="auto"/>
            <w:right w:val="none" w:sz="0" w:space="0" w:color="auto"/>
          </w:divBdr>
        </w:div>
        <w:div w:id="674575883">
          <w:marLeft w:val="200"/>
          <w:marRight w:val="0"/>
          <w:marTop w:val="0"/>
          <w:marBottom w:val="0"/>
          <w:divBdr>
            <w:top w:val="none" w:sz="0" w:space="0" w:color="auto"/>
            <w:left w:val="none" w:sz="0" w:space="0" w:color="auto"/>
            <w:bottom w:val="none" w:sz="0" w:space="0" w:color="auto"/>
            <w:right w:val="none" w:sz="0" w:space="0" w:color="auto"/>
          </w:divBdr>
        </w:div>
        <w:div w:id="1670399865">
          <w:marLeft w:val="200"/>
          <w:marRight w:val="0"/>
          <w:marTop w:val="0"/>
          <w:marBottom w:val="0"/>
          <w:divBdr>
            <w:top w:val="none" w:sz="0" w:space="0" w:color="auto"/>
            <w:left w:val="none" w:sz="0" w:space="0" w:color="auto"/>
            <w:bottom w:val="none" w:sz="0" w:space="0" w:color="auto"/>
            <w:right w:val="none" w:sz="0" w:space="0" w:color="auto"/>
          </w:divBdr>
        </w:div>
        <w:div w:id="52394664">
          <w:marLeft w:val="200"/>
          <w:marRight w:val="0"/>
          <w:marTop w:val="0"/>
          <w:marBottom w:val="0"/>
          <w:divBdr>
            <w:top w:val="none" w:sz="0" w:space="0" w:color="auto"/>
            <w:left w:val="none" w:sz="0" w:space="0" w:color="auto"/>
            <w:bottom w:val="none" w:sz="0" w:space="0" w:color="auto"/>
            <w:right w:val="none" w:sz="0" w:space="0" w:color="auto"/>
          </w:divBdr>
        </w:div>
        <w:div w:id="432946359">
          <w:marLeft w:val="200"/>
          <w:marRight w:val="0"/>
          <w:marTop w:val="0"/>
          <w:marBottom w:val="0"/>
          <w:divBdr>
            <w:top w:val="none" w:sz="0" w:space="0" w:color="auto"/>
            <w:left w:val="none" w:sz="0" w:space="0" w:color="auto"/>
            <w:bottom w:val="none" w:sz="0" w:space="0" w:color="auto"/>
            <w:right w:val="none" w:sz="0" w:space="0" w:color="auto"/>
          </w:divBdr>
        </w:div>
        <w:div w:id="1199666555">
          <w:marLeft w:val="200"/>
          <w:marRight w:val="0"/>
          <w:marTop w:val="0"/>
          <w:marBottom w:val="0"/>
          <w:divBdr>
            <w:top w:val="none" w:sz="0" w:space="0" w:color="auto"/>
            <w:left w:val="none" w:sz="0" w:space="0" w:color="auto"/>
            <w:bottom w:val="none" w:sz="0" w:space="0" w:color="auto"/>
            <w:right w:val="none" w:sz="0" w:space="0" w:color="auto"/>
          </w:divBdr>
        </w:div>
        <w:div w:id="625701464">
          <w:marLeft w:val="400"/>
          <w:marRight w:val="0"/>
          <w:marTop w:val="0"/>
          <w:marBottom w:val="0"/>
          <w:divBdr>
            <w:top w:val="none" w:sz="0" w:space="0" w:color="auto"/>
            <w:left w:val="none" w:sz="0" w:space="0" w:color="auto"/>
            <w:bottom w:val="none" w:sz="0" w:space="0" w:color="auto"/>
            <w:right w:val="none" w:sz="0" w:space="0" w:color="auto"/>
          </w:divBdr>
        </w:div>
        <w:div w:id="1436173630">
          <w:marLeft w:val="400"/>
          <w:marRight w:val="0"/>
          <w:marTop w:val="0"/>
          <w:marBottom w:val="0"/>
          <w:divBdr>
            <w:top w:val="none" w:sz="0" w:space="0" w:color="auto"/>
            <w:left w:val="none" w:sz="0" w:space="0" w:color="auto"/>
            <w:bottom w:val="none" w:sz="0" w:space="0" w:color="auto"/>
            <w:right w:val="none" w:sz="0" w:space="0" w:color="auto"/>
          </w:divBdr>
        </w:div>
        <w:div w:id="45182850">
          <w:marLeft w:val="400"/>
          <w:marRight w:val="0"/>
          <w:marTop w:val="0"/>
          <w:marBottom w:val="0"/>
          <w:divBdr>
            <w:top w:val="none" w:sz="0" w:space="0" w:color="auto"/>
            <w:left w:val="none" w:sz="0" w:space="0" w:color="auto"/>
            <w:bottom w:val="none" w:sz="0" w:space="0" w:color="auto"/>
            <w:right w:val="none" w:sz="0" w:space="0" w:color="auto"/>
          </w:divBdr>
        </w:div>
        <w:div w:id="129441856">
          <w:marLeft w:val="400"/>
          <w:marRight w:val="0"/>
          <w:marTop w:val="0"/>
          <w:marBottom w:val="0"/>
          <w:divBdr>
            <w:top w:val="none" w:sz="0" w:space="0" w:color="auto"/>
            <w:left w:val="none" w:sz="0" w:space="0" w:color="auto"/>
            <w:bottom w:val="none" w:sz="0" w:space="0" w:color="auto"/>
            <w:right w:val="none" w:sz="0" w:space="0" w:color="auto"/>
          </w:divBdr>
        </w:div>
        <w:div w:id="1384139154">
          <w:marLeft w:val="400"/>
          <w:marRight w:val="0"/>
          <w:marTop w:val="0"/>
          <w:marBottom w:val="0"/>
          <w:divBdr>
            <w:top w:val="none" w:sz="0" w:space="0" w:color="auto"/>
            <w:left w:val="none" w:sz="0" w:space="0" w:color="auto"/>
            <w:bottom w:val="none" w:sz="0" w:space="0" w:color="auto"/>
            <w:right w:val="none" w:sz="0" w:space="0" w:color="auto"/>
          </w:divBdr>
        </w:div>
        <w:div w:id="199557576">
          <w:marLeft w:val="400"/>
          <w:marRight w:val="0"/>
          <w:marTop w:val="0"/>
          <w:marBottom w:val="0"/>
          <w:divBdr>
            <w:top w:val="none" w:sz="0" w:space="0" w:color="auto"/>
            <w:left w:val="none" w:sz="0" w:space="0" w:color="auto"/>
            <w:bottom w:val="none" w:sz="0" w:space="0" w:color="auto"/>
            <w:right w:val="none" w:sz="0" w:space="0" w:color="auto"/>
          </w:divBdr>
        </w:div>
        <w:div w:id="1485967146">
          <w:marLeft w:val="400"/>
          <w:marRight w:val="0"/>
          <w:marTop w:val="0"/>
          <w:marBottom w:val="0"/>
          <w:divBdr>
            <w:top w:val="none" w:sz="0" w:space="0" w:color="auto"/>
            <w:left w:val="none" w:sz="0" w:space="0" w:color="auto"/>
            <w:bottom w:val="none" w:sz="0" w:space="0" w:color="auto"/>
            <w:right w:val="none" w:sz="0" w:space="0" w:color="auto"/>
          </w:divBdr>
        </w:div>
        <w:div w:id="1462773689">
          <w:marLeft w:val="400"/>
          <w:marRight w:val="0"/>
          <w:marTop w:val="0"/>
          <w:marBottom w:val="0"/>
          <w:divBdr>
            <w:top w:val="none" w:sz="0" w:space="0" w:color="auto"/>
            <w:left w:val="none" w:sz="0" w:space="0" w:color="auto"/>
            <w:bottom w:val="none" w:sz="0" w:space="0" w:color="auto"/>
            <w:right w:val="none" w:sz="0" w:space="0" w:color="auto"/>
          </w:divBdr>
        </w:div>
        <w:div w:id="2095348532">
          <w:marLeft w:val="200"/>
          <w:marRight w:val="0"/>
          <w:marTop w:val="0"/>
          <w:marBottom w:val="0"/>
          <w:divBdr>
            <w:top w:val="none" w:sz="0" w:space="0" w:color="auto"/>
            <w:left w:val="none" w:sz="0" w:space="0" w:color="auto"/>
            <w:bottom w:val="none" w:sz="0" w:space="0" w:color="auto"/>
            <w:right w:val="none" w:sz="0" w:space="0" w:color="auto"/>
          </w:divBdr>
        </w:div>
        <w:div w:id="645282370">
          <w:marLeft w:val="200"/>
          <w:marRight w:val="0"/>
          <w:marTop w:val="0"/>
          <w:marBottom w:val="0"/>
          <w:divBdr>
            <w:top w:val="none" w:sz="0" w:space="0" w:color="auto"/>
            <w:left w:val="none" w:sz="0" w:space="0" w:color="auto"/>
            <w:bottom w:val="none" w:sz="0" w:space="0" w:color="auto"/>
            <w:right w:val="none" w:sz="0" w:space="0" w:color="auto"/>
          </w:divBdr>
        </w:div>
        <w:div w:id="2097938887">
          <w:marLeft w:val="400"/>
          <w:marRight w:val="0"/>
          <w:marTop w:val="0"/>
          <w:marBottom w:val="0"/>
          <w:divBdr>
            <w:top w:val="none" w:sz="0" w:space="0" w:color="auto"/>
            <w:left w:val="none" w:sz="0" w:space="0" w:color="auto"/>
            <w:bottom w:val="none" w:sz="0" w:space="0" w:color="auto"/>
            <w:right w:val="none" w:sz="0" w:space="0" w:color="auto"/>
          </w:divBdr>
        </w:div>
        <w:div w:id="914438436">
          <w:marLeft w:val="400"/>
          <w:marRight w:val="0"/>
          <w:marTop w:val="0"/>
          <w:marBottom w:val="0"/>
          <w:divBdr>
            <w:top w:val="none" w:sz="0" w:space="0" w:color="auto"/>
            <w:left w:val="none" w:sz="0" w:space="0" w:color="auto"/>
            <w:bottom w:val="none" w:sz="0" w:space="0" w:color="auto"/>
            <w:right w:val="none" w:sz="0" w:space="0" w:color="auto"/>
          </w:divBdr>
        </w:div>
        <w:div w:id="1051079336">
          <w:marLeft w:val="400"/>
          <w:marRight w:val="0"/>
          <w:marTop w:val="0"/>
          <w:marBottom w:val="0"/>
          <w:divBdr>
            <w:top w:val="none" w:sz="0" w:space="0" w:color="auto"/>
            <w:left w:val="none" w:sz="0" w:space="0" w:color="auto"/>
            <w:bottom w:val="none" w:sz="0" w:space="0" w:color="auto"/>
            <w:right w:val="none" w:sz="0" w:space="0" w:color="auto"/>
          </w:divBdr>
        </w:div>
        <w:div w:id="1765414527">
          <w:marLeft w:val="1000"/>
          <w:marRight w:val="0"/>
          <w:marTop w:val="0"/>
          <w:marBottom w:val="0"/>
          <w:divBdr>
            <w:top w:val="none" w:sz="0" w:space="0" w:color="auto"/>
            <w:left w:val="none" w:sz="0" w:space="0" w:color="auto"/>
            <w:bottom w:val="none" w:sz="0" w:space="0" w:color="auto"/>
            <w:right w:val="none" w:sz="0" w:space="0" w:color="auto"/>
          </w:divBdr>
        </w:div>
        <w:div w:id="645429714">
          <w:marLeft w:val="200"/>
          <w:marRight w:val="0"/>
          <w:marTop w:val="0"/>
          <w:marBottom w:val="0"/>
          <w:divBdr>
            <w:top w:val="none" w:sz="0" w:space="0" w:color="auto"/>
            <w:left w:val="none" w:sz="0" w:space="0" w:color="auto"/>
            <w:bottom w:val="none" w:sz="0" w:space="0" w:color="auto"/>
            <w:right w:val="none" w:sz="0" w:space="0" w:color="auto"/>
          </w:divBdr>
        </w:div>
        <w:div w:id="294026376">
          <w:marLeft w:val="200"/>
          <w:marRight w:val="0"/>
          <w:marTop w:val="0"/>
          <w:marBottom w:val="0"/>
          <w:divBdr>
            <w:top w:val="none" w:sz="0" w:space="0" w:color="auto"/>
            <w:left w:val="none" w:sz="0" w:space="0" w:color="auto"/>
            <w:bottom w:val="none" w:sz="0" w:space="0" w:color="auto"/>
            <w:right w:val="none" w:sz="0" w:space="0" w:color="auto"/>
          </w:divBdr>
        </w:div>
        <w:div w:id="297689687">
          <w:marLeft w:val="200"/>
          <w:marRight w:val="0"/>
          <w:marTop w:val="0"/>
          <w:marBottom w:val="0"/>
          <w:divBdr>
            <w:top w:val="none" w:sz="0" w:space="0" w:color="auto"/>
            <w:left w:val="none" w:sz="0" w:space="0" w:color="auto"/>
            <w:bottom w:val="none" w:sz="0" w:space="0" w:color="auto"/>
            <w:right w:val="none" w:sz="0" w:space="0" w:color="auto"/>
          </w:divBdr>
        </w:div>
        <w:div w:id="1083919601">
          <w:marLeft w:val="200"/>
          <w:marRight w:val="0"/>
          <w:marTop w:val="0"/>
          <w:marBottom w:val="0"/>
          <w:divBdr>
            <w:top w:val="none" w:sz="0" w:space="0" w:color="auto"/>
            <w:left w:val="none" w:sz="0" w:space="0" w:color="auto"/>
            <w:bottom w:val="none" w:sz="0" w:space="0" w:color="auto"/>
            <w:right w:val="none" w:sz="0" w:space="0" w:color="auto"/>
          </w:divBdr>
        </w:div>
        <w:div w:id="1397162507">
          <w:marLeft w:val="200"/>
          <w:marRight w:val="0"/>
          <w:marTop w:val="0"/>
          <w:marBottom w:val="0"/>
          <w:divBdr>
            <w:top w:val="none" w:sz="0" w:space="0" w:color="auto"/>
            <w:left w:val="none" w:sz="0" w:space="0" w:color="auto"/>
            <w:bottom w:val="none" w:sz="0" w:space="0" w:color="auto"/>
            <w:right w:val="none" w:sz="0" w:space="0" w:color="auto"/>
          </w:divBdr>
        </w:div>
        <w:div w:id="1634208963">
          <w:marLeft w:val="200"/>
          <w:marRight w:val="0"/>
          <w:marTop w:val="0"/>
          <w:marBottom w:val="0"/>
          <w:divBdr>
            <w:top w:val="none" w:sz="0" w:space="0" w:color="auto"/>
            <w:left w:val="none" w:sz="0" w:space="0" w:color="auto"/>
            <w:bottom w:val="none" w:sz="0" w:space="0" w:color="auto"/>
            <w:right w:val="none" w:sz="0" w:space="0" w:color="auto"/>
          </w:divBdr>
        </w:div>
        <w:div w:id="339889458">
          <w:marLeft w:val="200"/>
          <w:marRight w:val="0"/>
          <w:marTop w:val="0"/>
          <w:marBottom w:val="0"/>
          <w:divBdr>
            <w:top w:val="none" w:sz="0" w:space="0" w:color="auto"/>
            <w:left w:val="none" w:sz="0" w:space="0" w:color="auto"/>
            <w:bottom w:val="none" w:sz="0" w:space="0" w:color="auto"/>
            <w:right w:val="none" w:sz="0" w:space="0" w:color="auto"/>
          </w:divBdr>
        </w:div>
        <w:div w:id="206649027">
          <w:marLeft w:val="200"/>
          <w:marRight w:val="0"/>
          <w:marTop w:val="0"/>
          <w:marBottom w:val="0"/>
          <w:divBdr>
            <w:top w:val="none" w:sz="0" w:space="0" w:color="auto"/>
            <w:left w:val="none" w:sz="0" w:space="0" w:color="auto"/>
            <w:bottom w:val="none" w:sz="0" w:space="0" w:color="auto"/>
            <w:right w:val="none" w:sz="0" w:space="0" w:color="auto"/>
          </w:divBdr>
        </w:div>
        <w:div w:id="2131585258">
          <w:marLeft w:val="200"/>
          <w:marRight w:val="0"/>
          <w:marTop w:val="0"/>
          <w:marBottom w:val="0"/>
          <w:divBdr>
            <w:top w:val="none" w:sz="0" w:space="0" w:color="auto"/>
            <w:left w:val="none" w:sz="0" w:space="0" w:color="auto"/>
            <w:bottom w:val="none" w:sz="0" w:space="0" w:color="auto"/>
            <w:right w:val="none" w:sz="0" w:space="0" w:color="auto"/>
          </w:divBdr>
        </w:div>
        <w:div w:id="255791750">
          <w:marLeft w:val="200"/>
          <w:marRight w:val="0"/>
          <w:marTop w:val="0"/>
          <w:marBottom w:val="0"/>
          <w:divBdr>
            <w:top w:val="none" w:sz="0" w:space="0" w:color="auto"/>
            <w:left w:val="none" w:sz="0" w:space="0" w:color="auto"/>
            <w:bottom w:val="none" w:sz="0" w:space="0" w:color="auto"/>
            <w:right w:val="none" w:sz="0" w:space="0" w:color="auto"/>
          </w:divBdr>
        </w:div>
        <w:div w:id="842621043">
          <w:marLeft w:val="200"/>
          <w:marRight w:val="0"/>
          <w:marTop w:val="0"/>
          <w:marBottom w:val="0"/>
          <w:divBdr>
            <w:top w:val="none" w:sz="0" w:space="0" w:color="auto"/>
            <w:left w:val="none" w:sz="0" w:space="0" w:color="auto"/>
            <w:bottom w:val="none" w:sz="0" w:space="0" w:color="auto"/>
            <w:right w:val="none" w:sz="0" w:space="0" w:color="auto"/>
          </w:divBdr>
        </w:div>
        <w:div w:id="903682833">
          <w:marLeft w:val="200"/>
          <w:marRight w:val="0"/>
          <w:marTop w:val="0"/>
          <w:marBottom w:val="0"/>
          <w:divBdr>
            <w:top w:val="none" w:sz="0" w:space="0" w:color="auto"/>
            <w:left w:val="none" w:sz="0" w:space="0" w:color="auto"/>
            <w:bottom w:val="none" w:sz="0" w:space="0" w:color="auto"/>
            <w:right w:val="none" w:sz="0" w:space="0" w:color="auto"/>
          </w:divBdr>
        </w:div>
        <w:div w:id="1958413779">
          <w:marLeft w:val="200"/>
          <w:marRight w:val="0"/>
          <w:marTop w:val="0"/>
          <w:marBottom w:val="0"/>
          <w:divBdr>
            <w:top w:val="none" w:sz="0" w:space="0" w:color="auto"/>
            <w:left w:val="none" w:sz="0" w:space="0" w:color="auto"/>
            <w:bottom w:val="none" w:sz="0" w:space="0" w:color="auto"/>
            <w:right w:val="none" w:sz="0" w:space="0" w:color="auto"/>
          </w:divBdr>
        </w:div>
        <w:div w:id="180749156">
          <w:marLeft w:val="200"/>
          <w:marRight w:val="0"/>
          <w:marTop w:val="0"/>
          <w:marBottom w:val="0"/>
          <w:divBdr>
            <w:top w:val="none" w:sz="0" w:space="0" w:color="auto"/>
            <w:left w:val="none" w:sz="0" w:space="0" w:color="auto"/>
            <w:bottom w:val="none" w:sz="0" w:space="0" w:color="auto"/>
            <w:right w:val="none" w:sz="0" w:space="0" w:color="auto"/>
          </w:divBdr>
        </w:div>
        <w:div w:id="364140473">
          <w:marLeft w:val="400"/>
          <w:marRight w:val="0"/>
          <w:marTop w:val="0"/>
          <w:marBottom w:val="0"/>
          <w:divBdr>
            <w:top w:val="none" w:sz="0" w:space="0" w:color="auto"/>
            <w:left w:val="none" w:sz="0" w:space="0" w:color="auto"/>
            <w:bottom w:val="none" w:sz="0" w:space="0" w:color="auto"/>
            <w:right w:val="none" w:sz="0" w:space="0" w:color="auto"/>
          </w:divBdr>
        </w:div>
        <w:div w:id="1823354397">
          <w:marLeft w:val="400"/>
          <w:marRight w:val="0"/>
          <w:marTop w:val="0"/>
          <w:marBottom w:val="0"/>
          <w:divBdr>
            <w:top w:val="none" w:sz="0" w:space="0" w:color="auto"/>
            <w:left w:val="none" w:sz="0" w:space="0" w:color="auto"/>
            <w:bottom w:val="none" w:sz="0" w:space="0" w:color="auto"/>
            <w:right w:val="none" w:sz="0" w:space="0" w:color="auto"/>
          </w:divBdr>
        </w:div>
        <w:div w:id="837382746">
          <w:marLeft w:val="400"/>
          <w:marRight w:val="0"/>
          <w:marTop w:val="0"/>
          <w:marBottom w:val="0"/>
          <w:divBdr>
            <w:top w:val="none" w:sz="0" w:space="0" w:color="auto"/>
            <w:left w:val="none" w:sz="0" w:space="0" w:color="auto"/>
            <w:bottom w:val="none" w:sz="0" w:space="0" w:color="auto"/>
            <w:right w:val="none" w:sz="0" w:space="0" w:color="auto"/>
          </w:divBdr>
        </w:div>
        <w:div w:id="88893219">
          <w:marLeft w:val="400"/>
          <w:marRight w:val="0"/>
          <w:marTop w:val="0"/>
          <w:marBottom w:val="0"/>
          <w:divBdr>
            <w:top w:val="none" w:sz="0" w:space="0" w:color="auto"/>
            <w:left w:val="none" w:sz="0" w:space="0" w:color="auto"/>
            <w:bottom w:val="none" w:sz="0" w:space="0" w:color="auto"/>
            <w:right w:val="none" w:sz="0" w:space="0" w:color="auto"/>
          </w:divBdr>
        </w:div>
        <w:div w:id="1396391701">
          <w:marLeft w:val="400"/>
          <w:marRight w:val="0"/>
          <w:marTop w:val="0"/>
          <w:marBottom w:val="0"/>
          <w:divBdr>
            <w:top w:val="none" w:sz="0" w:space="0" w:color="auto"/>
            <w:left w:val="none" w:sz="0" w:space="0" w:color="auto"/>
            <w:bottom w:val="none" w:sz="0" w:space="0" w:color="auto"/>
            <w:right w:val="none" w:sz="0" w:space="0" w:color="auto"/>
          </w:divBdr>
        </w:div>
        <w:div w:id="878903647">
          <w:marLeft w:val="200"/>
          <w:marRight w:val="0"/>
          <w:marTop w:val="0"/>
          <w:marBottom w:val="0"/>
          <w:divBdr>
            <w:top w:val="none" w:sz="0" w:space="0" w:color="auto"/>
            <w:left w:val="none" w:sz="0" w:space="0" w:color="auto"/>
            <w:bottom w:val="none" w:sz="0" w:space="0" w:color="auto"/>
            <w:right w:val="none" w:sz="0" w:space="0" w:color="auto"/>
          </w:divBdr>
        </w:div>
        <w:div w:id="341444427">
          <w:marLeft w:val="1000"/>
          <w:marRight w:val="0"/>
          <w:marTop w:val="0"/>
          <w:marBottom w:val="0"/>
          <w:divBdr>
            <w:top w:val="none" w:sz="0" w:space="0" w:color="auto"/>
            <w:left w:val="none" w:sz="0" w:space="0" w:color="auto"/>
            <w:bottom w:val="none" w:sz="0" w:space="0" w:color="auto"/>
            <w:right w:val="none" w:sz="0" w:space="0" w:color="auto"/>
          </w:divBdr>
        </w:div>
        <w:div w:id="1399479602">
          <w:marLeft w:val="200"/>
          <w:marRight w:val="0"/>
          <w:marTop w:val="0"/>
          <w:marBottom w:val="0"/>
          <w:divBdr>
            <w:top w:val="none" w:sz="0" w:space="0" w:color="auto"/>
            <w:left w:val="none" w:sz="0" w:space="0" w:color="auto"/>
            <w:bottom w:val="none" w:sz="0" w:space="0" w:color="auto"/>
            <w:right w:val="none" w:sz="0" w:space="0" w:color="auto"/>
          </w:divBdr>
        </w:div>
        <w:div w:id="1904632900">
          <w:marLeft w:val="200"/>
          <w:marRight w:val="0"/>
          <w:marTop w:val="0"/>
          <w:marBottom w:val="0"/>
          <w:divBdr>
            <w:top w:val="none" w:sz="0" w:space="0" w:color="auto"/>
            <w:left w:val="none" w:sz="0" w:space="0" w:color="auto"/>
            <w:bottom w:val="none" w:sz="0" w:space="0" w:color="auto"/>
            <w:right w:val="none" w:sz="0" w:space="0" w:color="auto"/>
          </w:divBdr>
        </w:div>
        <w:div w:id="393429667">
          <w:marLeft w:val="200"/>
          <w:marRight w:val="0"/>
          <w:marTop w:val="0"/>
          <w:marBottom w:val="0"/>
          <w:divBdr>
            <w:top w:val="none" w:sz="0" w:space="0" w:color="auto"/>
            <w:left w:val="none" w:sz="0" w:space="0" w:color="auto"/>
            <w:bottom w:val="none" w:sz="0" w:space="0" w:color="auto"/>
            <w:right w:val="none" w:sz="0" w:space="0" w:color="auto"/>
          </w:divBdr>
        </w:div>
        <w:div w:id="84738426">
          <w:marLeft w:val="200"/>
          <w:marRight w:val="0"/>
          <w:marTop w:val="0"/>
          <w:marBottom w:val="0"/>
          <w:divBdr>
            <w:top w:val="none" w:sz="0" w:space="0" w:color="auto"/>
            <w:left w:val="none" w:sz="0" w:space="0" w:color="auto"/>
            <w:bottom w:val="none" w:sz="0" w:space="0" w:color="auto"/>
            <w:right w:val="none" w:sz="0" w:space="0" w:color="auto"/>
          </w:divBdr>
        </w:div>
        <w:div w:id="1026446452">
          <w:marLeft w:val="1000"/>
          <w:marRight w:val="0"/>
          <w:marTop w:val="0"/>
          <w:marBottom w:val="0"/>
          <w:divBdr>
            <w:top w:val="none" w:sz="0" w:space="0" w:color="auto"/>
            <w:left w:val="none" w:sz="0" w:space="0" w:color="auto"/>
            <w:bottom w:val="none" w:sz="0" w:space="0" w:color="auto"/>
            <w:right w:val="none" w:sz="0" w:space="0" w:color="auto"/>
          </w:divBdr>
        </w:div>
        <w:div w:id="42752031">
          <w:marLeft w:val="600"/>
          <w:marRight w:val="0"/>
          <w:marTop w:val="0"/>
          <w:marBottom w:val="0"/>
          <w:divBdr>
            <w:top w:val="none" w:sz="0" w:space="0" w:color="auto"/>
            <w:left w:val="none" w:sz="0" w:space="0" w:color="auto"/>
            <w:bottom w:val="none" w:sz="0" w:space="0" w:color="auto"/>
            <w:right w:val="none" w:sz="0" w:space="0" w:color="auto"/>
          </w:divBdr>
        </w:div>
        <w:div w:id="1072198009">
          <w:marLeft w:val="600"/>
          <w:marRight w:val="0"/>
          <w:marTop w:val="0"/>
          <w:marBottom w:val="0"/>
          <w:divBdr>
            <w:top w:val="none" w:sz="0" w:space="0" w:color="auto"/>
            <w:left w:val="none" w:sz="0" w:space="0" w:color="auto"/>
            <w:bottom w:val="none" w:sz="0" w:space="0" w:color="auto"/>
            <w:right w:val="none" w:sz="0" w:space="0" w:color="auto"/>
          </w:divBdr>
        </w:div>
        <w:div w:id="1802724039">
          <w:marLeft w:val="600"/>
          <w:marRight w:val="0"/>
          <w:marTop w:val="0"/>
          <w:marBottom w:val="0"/>
          <w:divBdr>
            <w:top w:val="none" w:sz="0" w:space="0" w:color="auto"/>
            <w:left w:val="none" w:sz="0" w:space="0" w:color="auto"/>
            <w:bottom w:val="none" w:sz="0" w:space="0" w:color="auto"/>
            <w:right w:val="none" w:sz="0" w:space="0" w:color="auto"/>
          </w:divBdr>
        </w:div>
        <w:div w:id="23411571">
          <w:marLeft w:val="200"/>
          <w:marRight w:val="0"/>
          <w:marTop w:val="0"/>
          <w:marBottom w:val="0"/>
          <w:divBdr>
            <w:top w:val="none" w:sz="0" w:space="0" w:color="auto"/>
            <w:left w:val="none" w:sz="0" w:space="0" w:color="auto"/>
            <w:bottom w:val="none" w:sz="0" w:space="0" w:color="auto"/>
            <w:right w:val="none" w:sz="0" w:space="0" w:color="auto"/>
          </w:divBdr>
        </w:div>
        <w:div w:id="1385256360">
          <w:marLeft w:val="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11</Pages>
  <Words>784</Words>
  <Characters>4473</Characters>
  <Application>Microsoft Office Word</Application>
  <DocSecurity>0</DocSecurity>
  <Lines>37</Lines>
  <Paragraphs>10</Paragraphs>
  <ScaleCrop>false</ScaleCrop>
  <Company/>
  <LinksUpToDate>false</LinksUpToDate>
  <CharactersWithSpaces>5247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 365</dc:creator>
  <cp:keywords/>
  <dc:description/>
  <cp:lastModifiedBy>Office 365</cp:lastModifiedBy>
  <cp:revision>1</cp:revision>
  <dcterms:created xsi:type="dcterms:W3CDTF">2022-06-21T12:00:00Z</dcterms:created>
  <dcterms:modified xsi:type="dcterms:W3CDTF">2022-06-21T12:00:00Z</dcterms:modified>
</cp:coreProperties>
</file>