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B08" w:rsidRPr="009D6B08" w:rsidRDefault="009D6B08" w:rsidP="009D6B08">
      <w:pPr>
        <w:widowControl/>
        <w:ind w:hanging="200"/>
        <w:jc w:val="left"/>
        <w:rPr>
          <w:rFonts w:ascii="PingFang SC" w:eastAsia="PingFang SC" w:hAnsi="PingFang SC" w:cs="宋体"/>
          <w:color w:val="000000"/>
          <w:kern w:val="0"/>
          <w:sz w:val="27"/>
          <w:szCs w:val="27"/>
        </w:rPr>
      </w:pPr>
      <w:r w:rsidRPr="009D6B08">
        <w:rPr>
          <w:rFonts w:ascii="PingFang SC" w:eastAsia="PingFang SC" w:hAnsi="PingFang SC" w:cs="宋体" w:hint="eastAsia"/>
          <w:color w:val="000000"/>
          <w:kern w:val="0"/>
          <w:sz w:val="27"/>
          <w:szCs w:val="27"/>
        </w:rPr>
        <w:t>神奈川県不服申立関係書類の写し等交付手数料条例</w:t>
      </w:r>
    </w:p>
    <w:p w:rsidR="009D6B08" w:rsidRPr="009D6B08" w:rsidRDefault="009D6B08" w:rsidP="009D6B08">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9D6B08">
        <w:rPr>
          <w:rFonts w:ascii="PingFang SC" w:eastAsia="PingFang SC" w:hAnsi="PingFang SC" w:cs="宋体" w:hint="eastAsia"/>
          <w:color w:val="000000"/>
          <w:kern w:val="0"/>
          <w:sz w:val="27"/>
          <w:szCs w:val="27"/>
        </w:rPr>
        <w:t>平成28年３月29日</w:t>
      </w:r>
      <w:r w:rsidRPr="009D6B08">
        <w:rPr>
          <w:rFonts w:ascii="PingFang SC" w:eastAsia="PingFang SC" w:hAnsi="PingFang SC" w:cs="宋体" w:hint="eastAsia"/>
          <w:color w:val="000000"/>
          <w:kern w:val="0"/>
          <w:sz w:val="27"/>
          <w:szCs w:val="27"/>
        </w:rPr>
        <w:br/>
        <w:t>条例第18号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9D6B08" w:rsidRPr="009D6B08" w:rsidTr="009D6B08">
        <w:tc>
          <w:tcPr>
            <w:tcW w:w="945" w:type="dxa"/>
            <w:tcBorders>
              <w:left w:val="nil"/>
              <w:right w:val="nil"/>
            </w:tcBorders>
            <w:vAlign w:val="center"/>
            <w:hideMark/>
          </w:tcPr>
          <w:p w:rsidR="009D6B08" w:rsidRPr="009D6B08" w:rsidRDefault="009D6B08" w:rsidP="009D6B08">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9D6B08" w:rsidRPr="009D6B08" w:rsidRDefault="009D6B08" w:rsidP="009D6B08">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9D6B08" w:rsidRPr="009D6B08" w:rsidRDefault="009D6B08" w:rsidP="009D6B08">
            <w:pPr>
              <w:widowControl/>
              <w:jc w:val="left"/>
              <w:rPr>
                <w:rFonts w:ascii="Times New Roman" w:eastAsia="Times New Roman" w:hAnsi="Times New Roman" w:cs="Times New Roman"/>
                <w:kern w:val="0"/>
                <w:sz w:val="20"/>
                <w:szCs w:val="20"/>
              </w:rPr>
            </w:pPr>
          </w:p>
        </w:tc>
      </w:tr>
      <w:tr w:rsidR="009D6B08" w:rsidRPr="009D6B08" w:rsidTr="009D6B08">
        <w:tc>
          <w:tcPr>
            <w:tcW w:w="945" w:type="dxa"/>
            <w:tcBorders>
              <w:top w:val="nil"/>
              <w:left w:val="nil"/>
              <w:bottom w:val="nil"/>
              <w:right w:val="nil"/>
            </w:tcBorders>
            <w:hideMark/>
          </w:tcPr>
          <w:p w:rsidR="009D6B08" w:rsidRPr="009D6B08" w:rsidRDefault="009D6B08" w:rsidP="009D6B08">
            <w:pPr>
              <w:widowControl/>
              <w:jc w:val="left"/>
              <w:rPr>
                <w:rFonts w:ascii="宋体" w:eastAsia="宋体" w:hAnsi="宋体" w:cs="宋体"/>
                <w:kern w:val="0"/>
                <w:sz w:val="24"/>
              </w:rPr>
            </w:pPr>
            <w:r w:rsidRPr="009D6B08">
              <w:rPr>
                <w:rFonts w:ascii="宋体" w:eastAsia="宋体" w:hAnsi="宋体" w:cs="宋体"/>
                <w:kern w:val="0"/>
                <w:sz w:val="24"/>
              </w:rPr>
              <w:t>改正</w:t>
            </w:r>
          </w:p>
        </w:tc>
        <w:tc>
          <w:tcPr>
            <w:tcW w:w="3480" w:type="dxa"/>
            <w:tcBorders>
              <w:top w:val="nil"/>
              <w:left w:val="nil"/>
              <w:bottom w:val="nil"/>
              <w:right w:val="nil"/>
            </w:tcBorders>
            <w:hideMark/>
          </w:tcPr>
          <w:p w:rsidR="009D6B08" w:rsidRPr="009D6B08" w:rsidRDefault="009D6B08" w:rsidP="009D6B08">
            <w:pPr>
              <w:widowControl/>
              <w:spacing w:before="100" w:beforeAutospacing="1" w:after="100" w:afterAutospacing="1"/>
              <w:jc w:val="left"/>
              <w:rPr>
                <w:rFonts w:ascii="宋体" w:eastAsia="宋体" w:hAnsi="宋体" w:cs="宋体"/>
                <w:kern w:val="0"/>
                <w:sz w:val="24"/>
              </w:rPr>
            </w:pPr>
            <w:r w:rsidRPr="009D6B08">
              <w:rPr>
                <w:rFonts w:ascii="宋体" w:eastAsia="宋体" w:hAnsi="宋体" w:cs="宋体"/>
                <w:kern w:val="0"/>
                <w:sz w:val="24"/>
              </w:rPr>
              <w:t>令和元年５月14日条例第２号</w:t>
            </w:r>
          </w:p>
        </w:tc>
        <w:tc>
          <w:tcPr>
            <w:tcW w:w="3480" w:type="dxa"/>
            <w:tcBorders>
              <w:top w:val="nil"/>
              <w:left w:val="nil"/>
              <w:bottom w:val="nil"/>
              <w:right w:val="nil"/>
            </w:tcBorders>
            <w:hideMark/>
          </w:tcPr>
          <w:p w:rsidR="009D6B08" w:rsidRPr="009D6B08" w:rsidRDefault="009D6B08" w:rsidP="009D6B08">
            <w:pPr>
              <w:widowControl/>
              <w:spacing w:before="100" w:beforeAutospacing="1" w:after="100" w:afterAutospacing="1"/>
              <w:jc w:val="left"/>
              <w:rPr>
                <w:rFonts w:ascii="宋体" w:eastAsia="宋体" w:hAnsi="宋体" w:cs="宋体"/>
                <w:kern w:val="0"/>
                <w:sz w:val="24"/>
              </w:rPr>
            </w:pPr>
            <w:r w:rsidRPr="009D6B08">
              <w:rPr>
                <w:rFonts w:ascii="宋体" w:eastAsia="宋体" w:hAnsi="宋体" w:cs="宋体"/>
                <w:kern w:val="0"/>
                <w:sz w:val="24"/>
              </w:rPr>
              <w:t>  </w:t>
            </w:r>
          </w:p>
        </w:tc>
      </w:tr>
    </w:tbl>
    <w:p w:rsidR="009D6B08" w:rsidRPr="009D6B08" w:rsidRDefault="009D6B08" w:rsidP="009D6B08">
      <w:pPr>
        <w:widowControl/>
        <w:jc w:val="left"/>
        <w:rPr>
          <w:rFonts w:ascii="PingFang SC" w:eastAsia="PingFang SC" w:hAnsi="PingFang SC" w:cs="宋体"/>
          <w:color w:val="000000"/>
          <w:kern w:val="0"/>
          <w:sz w:val="27"/>
          <w:szCs w:val="27"/>
        </w:rPr>
      </w:pPr>
    </w:p>
    <w:p w:rsidR="009D6B08" w:rsidRPr="009D6B08" w:rsidRDefault="009D6B08" w:rsidP="009D6B08">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9D6B08">
        <w:rPr>
          <w:rFonts w:ascii="PingFang SC" w:eastAsia="PingFang SC" w:hAnsi="PingFang SC" w:cs="宋体" w:hint="eastAsia"/>
          <w:color w:val="000000"/>
          <w:kern w:val="0"/>
          <w:sz w:val="27"/>
          <w:szCs w:val="27"/>
        </w:rPr>
        <w:t>神奈川県不服申立関係書類の写し等交付手数料条例をここに公布する。</w:t>
      </w:r>
    </w:p>
    <w:p w:rsidR="009D6B08" w:rsidRPr="009D6B08" w:rsidRDefault="009D6B08" w:rsidP="009D6B08">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9D6B08">
        <w:rPr>
          <w:rFonts w:ascii="PingFang SC" w:eastAsia="PingFang SC" w:hAnsi="PingFang SC" w:cs="宋体" w:hint="eastAsia"/>
          <w:color w:val="000000"/>
          <w:kern w:val="0"/>
          <w:sz w:val="27"/>
          <w:szCs w:val="27"/>
        </w:rPr>
        <w:t>神奈川県不服申立関係書類の写し等交付手数料条例</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9D6B08">
        <w:rPr>
          <w:rFonts w:ascii="PingFang SC" w:eastAsia="PingFang SC" w:hAnsi="PingFang SC" w:cs="宋体" w:hint="eastAsia"/>
          <w:color w:val="000000"/>
          <w:kern w:val="0"/>
          <w:sz w:val="27"/>
          <w:szCs w:val="27"/>
        </w:rPr>
        <w:t>（趣旨）</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2"/>
      <w:bookmarkEnd w:id="13"/>
      <w:r w:rsidRPr="009D6B08">
        <w:rPr>
          <w:rFonts w:ascii="PingFang SC" w:eastAsia="PingFang SC" w:hAnsi="PingFang SC" w:cs="宋体" w:hint="eastAsia"/>
          <w:b/>
          <w:bCs/>
          <w:color w:val="000000"/>
          <w:kern w:val="0"/>
          <w:sz w:val="27"/>
          <w:szCs w:val="27"/>
        </w:rPr>
        <w:t>第１条</w:t>
      </w:r>
      <w:r w:rsidRPr="009D6B08">
        <w:rPr>
          <w:rFonts w:ascii="PingFang SC" w:eastAsia="PingFang SC" w:hAnsi="PingFang SC" w:cs="宋体" w:hint="eastAsia"/>
          <w:color w:val="000000"/>
          <w:kern w:val="0"/>
          <w:sz w:val="27"/>
          <w:szCs w:val="27"/>
        </w:rPr>
        <w:t xml:space="preserve">　この条例は、行政不服審査法（平成26年法律第68号）第38条第６項の規定により読み替えて適用する同条第４項及び第５項（これらの規定を同法第66条第１項及び他の法令において準用する場合を含む。）並びに同法第81条第３項において準用する同法第78条第４項及び第５項の規定に基づき、不服申立てに関する書類、書面若しくは資料の写し又は電磁的記録に記録された事項を記載した書面の交付に係る手数料に関し必要な事項を定めるものとする。</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15" w:name="JUMP_SEQ_8"/>
      <w:bookmarkStart w:id="16" w:name="MOKUJI_8"/>
      <w:bookmarkStart w:id="17" w:name="JUMP_JYO_2_0_0"/>
      <w:bookmarkEnd w:id="15"/>
      <w:bookmarkEnd w:id="16"/>
      <w:r w:rsidRPr="009D6B08">
        <w:rPr>
          <w:rFonts w:ascii="PingFang SC" w:eastAsia="PingFang SC" w:hAnsi="PingFang SC" w:cs="宋体" w:hint="eastAsia"/>
          <w:color w:val="000000"/>
          <w:kern w:val="0"/>
          <w:sz w:val="27"/>
          <w:szCs w:val="27"/>
        </w:rPr>
        <w:t>（手数料の額）</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18" w:name="JUMP_SEQ_9"/>
      <w:bookmarkEnd w:id="17"/>
      <w:bookmarkEnd w:id="18"/>
      <w:r w:rsidRPr="009D6B08">
        <w:rPr>
          <w:rFonts w:ascii="PingFang SC" w:eastAsia="PingFang SC" w:hAnsi="PingFang SC" w:cs="宋体" w:hint="eastAsia"/>
          <w:b/>
          <w:bCs/>
          <w:color w:val="000000"/>
          <w:kern w:val="0"/>
          <w:sz w:val="27"/>
          <w:szCs w:val="27"/>
        </w:rPr>
        <w:t>第２条</w:t>
      </w:r>
      <w:r w:rsidRPr="009D6B08">
        <w:rPr>
          <w:rFonts w:ascii="PingFang SC" w:eastAsia="PingFang SC" w:hAnsi="PingFang SC" w:cs="宋体" w:hint="eastAsia"/>
          <w:color w:val="000000"/>
          <w:kern w:val="0"/>
          <w:sz w:val="27"/>
          <w:szCs w:val="27"/>
        </w:rPr>
        <w:t xml:space="preserve">　行政不服審査法（以下「法」という。）第38条第６項の規定により読み替えて適用する同条第４項（法第66条第１項及び他の法令において準用する場合を含む。）又は法第81条第３項において準用する法第78条第４項の規定により納付しなければならない手数</w:t>
      </w:r>
      <w:r w:rsidRPr="009D6B08">
        <w:rPr>
          <w:rFonts w:ascii="PingFang SC" w:eastAsia="PingFang SC" w:hAnsi="PingFang SC" w:cs="宋体" w:hint="eastAsia"/>
          <w:color w:val="000000"/>
          <w:kern w:val="0"/>
          <w:sz w:val="27"/>
          <w:szCs w:val="27"/>
        </w:rPr>
        <w:lastRenderedPageBreak/>
        <w:t>料（以下「手数料」という。）の額は、</w:t>
      </w:r>
      <w:hyperlink r:id="rId4" w:anchor="JUMP_SEQ_22" w:history="1">
        <w:r w:rsidRPr="009D6B08">
          <w:rPr>
            <w:rFonts w:ascii="PingFang SC" w:eastAsia="PingFang SC" w:hAnsi="PingFang SC" w:cs="宋体" w:hint="eastAsia"/>
            <w:color w:val="0000FF"/>
            <w:kern w:val="0"/>
            <w:sz w:val="27"/>
            <w:szCs w:val="27"/>
            <w:u w:val="single"/>
          </w:rPr>
          <w:t>別表</w:t>
        </w:r>
      </w:hyperlink>
      <w:r w:rsidRPr="009D6B08">
        <w:rPr>
          <w:rFonts w:ascii="PingFang SC" w:eastAsia="PingFang SC" w:hAnsi="PingFang SC" w:cs="宋体" w:hint="eastAsia"/>
          <w:color w:val="000000"/>
          <w:kern w:val="0"/>
          <w:sz w:val="27"/>
          <w:szCs w:val="27"/>
        </w:rPr>
        <w:t>の左欄に掲げる交付の方法に応じ、それぞれ同表の右欄に定める額とする。</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19" w:name="JUMP_SEQ_10"/>
      <w:bookmarkStart w:id="20" w:name="MOKUJI_9"/>
      <w:bookmarkStart w:id="21" w:name="JUMP_JYO_3_0_0"/>
      <w:bookmarkEnd w:id="19"/>
      <w:bookmarkEnd w:id="20"/>
      <w:r w:rsidRPr="009D6B08">
        <w:rPr>
          <w:rFonts w:ascii="PingFang SC" w:eastAsia="PingFang SC" w:hAnsi="PingFang SC" w:cs="宋体" w:hint="eastAsia"/>
          <w:color w:val="000000"/>
          <w:kern w:val="0"/>
          <w:sz w:val="27"/>
          <w:szCs w:val="27"/>
        </w:rPr>
        <w:t>（手数料の納付時期）</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22" w:name="JUMP_SEQ_11"/>
      <w:bookmarkEnd w:id="21"/>
      <w:bookmarkEnd w:id="22"/>
      <w:r w:rsidRPr="009D6B08">
        <w:rPr>
          <w:rFonts w:ascii="PingFang SC" w:eastAsia="PingFang SC" w:hAnsi="PingFang SC" w:cs="宋体" w:hint="eastAsia"/>
          <w:b/>
          <w:bCs/>
          <w:color w:val="000000"/>
          <w:kern w:val="0"/>
          <w:sz w:val="27"/>
          <w:szCs w:val="27"/>
        </w:rPr>
        <w:t>第３条</w:t>
      </w:r>
      <w:r w:rsidRPr="009D6B08">
        <w:rPr>
          <w:rFonts w:ascii="PingFang SC" w:eastAsia="PingFang SC" w:hAnsi="PingFang SC" w:cs="宋体" w:hint="eastAsia"/>
          <w:color w:val="000000"/>
          <w:kern w:val="0"/>
          <w:sz w:val="27"/>
          <w:szCs w:val="27"/>
        </w:rPr>
        <w:t xml:space="preserve">　手数料は、法第38条第１項（法第66条第１項及び他の法令において準用する場合を含む。）又は法第81条第３項において準用する法第78条第１項の規定による交付を受ける際に納付しなければならない。</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23" w:name="JUMP_SEQ_12"/>
      <w:bookmarkStart w:id="24" w:name="MOKUJI_10"/>
      <w:bookmarkStart w:id="25" w:name="JUMP_JYO_4_0_0"/>
      <w:bookmarkEnd w:id="23"/>
      <w:bookmarkEnd w:id="24"/>
      <w:r w:rsidRPr="009D6B08">
        <w:rPr>
          <w:rFonts w:ascii="PingFang SC" w:eastAsia="PingFang SC" w:hAnsi="PingFang SC" w:cs="宋体" w:hint="eastAsia"/>
          <w:color w:val="000000"/>
          <w:kern w:val="0"/>
          <w:sz w:val="27"/>
          <w:szCs w:val="27"/>
        </w:rPr>
        <w:t>（手数料の減免）</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26" w:name="JUMP_SEQ_13"/>
      <w:bookmarkEnd w:id="14"/>
      <w:bookmarkEnd w:id="26"/>
      <w:r w:rsidRPr="009D6B08">
        <w:rPr>
          <w:rFonts w:ascii="PingFang SC" w:eastAsia="PingFang SC" w:hAnsi="PingFang SC" w:cs="宋体" w:hint="eastAsia"/>
          <w:b/>
          <w:bCs/>
          <w:color w:val="000000"/>
          <w:kern w:val="0"/>
          <w:sz w:val="27"/>
          <w:szCs w:val="27"/>
        </w:rPr>
        <w:t>第４条</w:t>
      </w:r>
      <w:r w:rsidRPr="009D6B08">
        <w:rPr>
          <w:rFonts w:ascii="PingFang SC" w:eastAsia="PingFang SC" w:hAnsi="PingFang SC" w:cs="宋体" w:hint="eastAsia"/>
          <w:color w:val="000000"/>
          <w:kern w:val="0"/>
          <w:sz w:val="27"/>
          <w:szCs w:val="27"/>
        </w:rPr>
        <w:t xml:space="preserve">　審理員（審査庁が法第９条第１項第３号に掲げる機関である場合又は同項ただし書の特別の定めがある場合にあっては審査庁とし、再審査庁が法第66条第１項において準用する法第９条第１項第３号に掲げる機関である場合にあっては再審査庁とし、他の法令において法第38条第５項を準用する場合にあっては当該法令に基づいて手数料を減額し、又は免除する権限を有する者とする。）又は神奈川県行政不服審査会（以下「審理員等」という。）は、法第38条第１項（法第66条第１項及び他の法令において準用する場合を含む。）又は法第81条第３項において準用する法第78条第１項の規定による交付を受ける審査請求人又は参加人（法第66条第１項において法第38条第１項を準用する場合にあっては再審査請求人又は参加人とし、他の法令において法第38条第１項を準用する場合にあっては当該法令の規定による交付を受ける者とする。以下「審査請求</w:t>
      </w:r>
      <w:r w:rsidRPr="009D6B08">
        <w:rPr>
          <w:rFonts w:ascii="PingFang SC" w:eastAsia="PingFang SC" w:hAnsi="PingFang SC" w:cs="宋体" w:hint="eastAsia"/>
          <w:color w:val="000000"/>
          <w:kern w:val="0"/>
          <w:sz w:val="27"/>
          <w:szCs w:val="27"/>
        </w:rPr>
        <w:lastRenderedPageBreak/>
        <w:t>人等」という。）が経済的困難により手数料を納付する資力がないと認めるときは、手数料を減額し、又は免除することができる。</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27" w:name="JUMP_KOU_2_0"/>
      <w:bookmarkStart w:id="28" w:name="JUMP_SEQ_14"/>
      <w:bookmarkStart w:id="29" w:name="MOKUJI_11"/>
      <w:bookmarkEnd w:id="27"/>
      <w:bookmarkEnd w:id="28"/>
      <w:bookmarkEnd w:id="29"/>
      <w:r w:rsidRPr="009D6B08">
        <w:rPr>
          <w:rFonts w:ascii="PingFang SC" w:eastAsia="PingFang SC" w:hAnsi="PingFang SC" w:cs="宋体" w:hint="eastAsia"/>
          <w:color w:val="000000"/>
          <w:kern w:val="0"/>
          <w:sz w:val="27"/>
          <w:szCs w:val="27"/>
        </w:rPr>
        <w:t>２　手数料の減額又は免除を受けようとする審査請求人等は、法第38条第１項（法第66条第１項及び他の法令において準用する場合を含む。）又は法第81条第３項において準用する法第78条第１項の規定による交付を求める際に、併せて当該減額又は免除を求める旨及びその理由を記載した書面を審理員等に提出しなければならない。</w:t>
      </w:r>
    </w:p>
    <w:p w:rsidR="009D6B08" w:rsidRPr="009D6B08" w:rsidRDefault="009D6B08" w:rsidP="009D6B08">
      <w:pPr>
        <w:widowControl/>
        <w:ind w:hanging="200"/>
        <w:jc w:val="left"/>
        <w:rPr>
          <w:rFonts w:ascii="PingFang SC" w:eastAsia="PingFang SC" w:hAnsi="PingFang SC" w:cs="宋体" w:hint="eastAsia"/>
          <w:color w:val="000000"/>
          <w:kern w:val="0"/>
          <w:sz w:val="27"/>
          <w:szCs w:val="27"/>
        </w:rPr>
      </w:pPr>
      <w:bookmarkStart w:id="30" w:name="JUMP_KOU_3_0"/>
      <w:bookmarkStart w:id="31" w:name="JUMP_SEQ_15"/>
      <w:bookmarkStart w:id="32" w:name="MOKUJI_12"/>
      <w:bookmarkEnd w:id="25"/>
      <w:bookmarkEnd w:id="30"/>
      <w:bookmarkEnd w:id="31"/>
      <w:bookmarkEnd w:id="32"/>
      <w:r w:rsidRPr="009D6B08">
        <w:rPr>
          <w:rFonts w:ascii="PingFang SC" w:eastAsia="PingFang SC" w:hAnsi="PingFang SC" w:cs="宋体" w:hint="eastAsia"/>
          <w:color w:val="000000"/>
          <w:kern w:val="0"/>
          <w:sz w:val="27"/>
          <w:szCs w:val="27"/>
        </w:rPr>
        <w:t>３　前項の書面には、審査請求人等が生活保護法（昭和25年法律第144号）第11条第１項各号に掲げる扶助を受けていることを理由とする場合にあっては当該扶助を受けていることを証明する書面を、その他の事実を理由とする場合にあっては当該事実を証明する書面を、それぞれ添付しなければならない。</w:t>
      </w:r>
    </w:p>
    <w:p w:rsidR="009D6B08" w:rsidRPr="009D6B08" w:rsidRDefault="009D6B08" w:rsidP="009D6B08">
      <w:pPr>
        <w:widowControl/>
        <w:jc w:val="left"/>
        <w:rPr>
          <w:rFonts w:ascii="PingFang SC" w:eastAsia="PingFang SC" w:hAnsi="PingFang SC" w:cs="宋体" w:hint="eastAsia"/>
          <w:color w:val="000000"/>
          <w:kern w:val="0"/>
          <w:sz w:val="27"/>
          <w:szCs w:val="27"/>
        </w:rPr>
      </w:pPr>
      <w:bookmarkStart w:id="33" w:name="JUMP_SEQ_16"/>
      <w:bookmarkStart w:id="34" w:name="MOKUJI_13"/>
      <w:bookmarkEnd w:id="33"/>
      <w:bookmarkEnd w:id="34"/>
      <w:r w:rsidRPr="009D6B08">
        <w:rPr>
          <w:rFonts w:ascii="PingFang SC" w:eastAsia="PingFang SC" w:hAnsi="PingFang SC" w:cs="宋体" w:hint="eastAsia"/>
          <w:color w:val="000000"/>
          <w:kern w:val="0"/>
          <w:sz w:val="27"/>
          <w:szCs w:val="27"/>
        </w:rPr>
        <w:t>附　則</w:t>
      </w:r>
    </w:p>
    <w:p w:rsidR="009D6B08" w:rsidRPr="009D6B08" w:rsidRDefault="009D6B08" w:rsidP="009D6B08">
      <w:pPr>
        <w:widowControl/>
        <w:ind w:firstLine="200"/>
        <w:jc w:val="left"/>
        <w:rPr>
          <w:rFonts w:ascii="PingFang SC" w:eastAsia="PingFang SC" w:hAnsi="PingFang SC" w:cs="宋体" w:hint="eastAsia"/>
          <w:color w:val="000000"/>
          <w:kern w:val="0"/>
          <w:sz w:val="27"/>
          <w:szCs w:val="27"/>
        </w:rPr>
      </w:pPr>
      <w:bookmarkStart w:id="35" w:name="JUMP_SEQ_17"/>
      <w:bookmarkEnd w:id="35"/>
      <w:r w:rsidRPr="009D6B08">
        <w:rPr>
          <w:rFonts w:ascii="PingFang SC" w:eastAsia="PingFang SC" w:hAnsi="PingFang SC" w:cs="宋体" w:hint="eastAsia"/>
          <w:color w:val="000000"/>
          <w:kern w:val="0"/>
          <w:sz w:val="27"/>
          <w:szCs w:val="27"/>
        </w:rPr>
        <w:t>この条例は、平成28年４月１日から施行する。</w:t>
      </w:r>
    </w:p>
    <w:p w:rsidR="009D6B08" w:rsidRPr="009D6B08" w:rsidRDefault="009D6B08" w:rsidP="009D6B08">
      <w:pPr>
        <w:widowControl/>
        <w:jc w:val="left"/>
        <w:rPr>
          <w:rFonts w:ascii="PingFang SC" w:eastAsia="PingFang SC" w:hAnsi="PingFang SC" w:cs="宋体" w:hint="eastAsia"/>
          <w:color w:val="000000"/>
          <w:kern w:val="0"/>
          <w:sz w:val="27"/>
          <w:szCs w:val="27"/>
        </w:rPr>
      </w:pPr>
      <w:bookmarkStart w:id="36" w:name="JUMP_SEQ_18"/>
      <w:bookmarkStart w:id="37" w:name="MOKUJI_14"/>
      <w:bookmarkStart w:id="38" w:name="JUMP_SEQ_19"/>
      <w:bookmarkStart w:id="39" w:name="MOKUJI_15"/>
      <w:bookmarkStart w:id="40" w:name="JUMP_FUSOKU_CODE_50190101000200000000"/>
      <w:bookmarkEnd w:id="36"/>
      <w:bookmarkEnd w:id="37"/>
      <w:bookmarkEnd w:id="38"/>
      <w:bookmarkEnd w:id="39"/>
      <w:r w:rsidRPr="009D6B08">
        <w:rPr>
          <w:rFonts w:ascii="PingFang SC" w:eastAsia="PingFang SC" w:hAnsi="PingFang SC" w:cs="宋体" w:hint="eastAsia"/>
          <w:color w:val="000000"/>
          <w:kern w:val="0"/>
          <w:sz w:val="27"/>
          <w:szCs w:val="27"/>
        </w:rPr>
        <w:t>附　則（令和元年５月14日条例第２号）</w:t>
      </w:r>
    </w:p>
    <w:p w:rsidR="009D6B08" w:rsidRPr="009D6B08" w:rsidRDefault="009D6B08" w:rsidP="009D6B08">
      <w:pPr>
        <w:widowControl/>
        <w:ind w:firstLine="200"/>
        <w:jc w:val="left"/>
        <w:rPr>
          <w:rFonts w:ascii="PingFang SC" w:eastAsia="PingFang SC" w:hAnsi="PingFang SC" w:cs="宋体" w:hint="eastAsia"/>
          <w:color w:val="000000"/>
          <w:kern w:val="0"/>
          <w:sz w:val="27"/>
          <w:szCs w:val="27"/>
        </w:rPr>
      </w:pPr>
      <w:bookmarkStart w:id="41" w:name="JUMP_SEQ_20"/>
      <w:bookmarkEnd w:id="40"/>
      <w:bookmarkEnd w:id="41"/>
      <w:r w:rsidRPr="009D6B08">
        <w:rPr>
          <w:rFonts w:ascii="PingFang SC" w:eastAsia="PingFang SC" w:hAnsi="PingFang SC" w:cs="宋体" w:hint="eastAsia"/>
          <w:color w:val="000000"/>
          <w:kern w:val="0"/>
          <w:sz w:val="27"/>
          <w:szCs w:val="27"/>
        </w:rPr>
        <w:t>この条例は、令和元年７月１日から施行する。</w:t>
      </w:r>
    </w:p>
    <w:p w:rsidR="009D6B08" w:rsidRPr="009D6B08" w:rsidRDefault="009D6B08" w:rsidP="009D6B08">
      <w:pPr>
        <w:widowControl/>
        <w:jc w:val="left"/>
        <w:rPr>
          <w:rFonts w:ascii="PingFang SC" w:eastAsia="PingFang SC" w:hAnsi="PingFang SC" w:cs="宋体" w:hint="eastAsia"/>
          <w:color w:val="000000"/>
          <w:kern w:val="0"/>
          <w:sz w:val="27"/>
          <w:szCs w:val="27"/>
        </w:rPr>
      </w:pPr>
      <w:bookmarkStart w:id="42" w:name="JUMP_SEQ_21"/>
      <w:bookmarkStart w:id="43" w:name="MOKUJI_16"/>
      <w:bookmarkStart w:id="44" w:name="JUMP_SEQ_22"/>
      <w:bookmarkStart w:id="45" w:name="MOKUJI_17"/>
      <w:bookmarkEnd w:id="42"/>
      <w:bookmarkEnd w:id="43"/>
      <w:bookmarkEnd w:id="44"/>
      <w:bookmarkEnd w:id="45"/>
      <w:r w:rsidRPr="009D6B08">
        <w:rPr>
          <w:rFonts w:ascii="PingFang SC" w:eastAsia="PingFang SC" w:hAnsi="PingFang SC" w:cs="宋体" w:hint="eastAsia"/>
          <w:color w:val="000000"/>
          <w:kern w:val="0"/>
          <w:sz w:val="27"/>
          <w:szCs w:val="27"/>
        </w:rPr>
        <w:t>別表（第２条関係）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15"/>
        <w:gridCol w:w="2585"/>
      </w:tblGrid>
      <w:tr w:rsidR="009D6B08" w:rsidRPr="009D6B08" w:rsidTr="009D6B08">
        <w:tc>
          <w:tcPr>
            <w:tcW w:w="7095" w:type="dxa"/>
            <w:tcBorders>
              <w:top w:val="outset" w:sz="6" w:space="0" w:color="auto"/>
              <w:left w:val="nil"/>
              <w:bottom w:val="outset" w:sz="6" w:space="0" w:color="auto"/>
              <w:right w:val="nil"/>
            </w:tcBorders>
            <w:vAlign w:val="center"/>
            <w:hideMark/>
          </w:tcPr>
          <w:p w:rsidR="009D6B08" w:rsidRPr="009D6B08" w:rsidRDefault="009D6B08" w:rsidP="009D6B08">
            <w:pPr>
              <w:widowControl/>
              <w:jc w:val="left"/>
              <w:rPr>
                <w:rFonts w:ascii="PingFang SC" w:eastAsia="PingFang SC" w:hAnsi="PingFang SC" w:cs="宋体" w:hint="eastAsia"/>
                <w:color w:val="000000"/>
                <w:kern w:val="0"/>
                <w:sz w:val="27"/>
                <w:szCs w:val="27"/>
              </w:rPr>
            </w:pPr>
            <w:bookmarkStart w:id="46" w:name="JUMP_SEQ_23"/>
            <w:bookmarkEnd w:id="46"/>
          </w:p>
        </w:tc>
        <w:tc>
          <w:tcPr>
            <w:tcW w:w="3255" w:type="dxa"/>
            <w:tcBorders>
              <w:top w:val="outset" w:sz="6" w:space="0" w:color="auto"/>
              <w:left w:val="nil"/>
              <w:bottom w:val="outset" w:sz="6" w:space="0" w:color="auto"/>
              <w:right w:val="nil"/>
            </w:tcBorders>
            <w:vAlign w:val="center"/>
            <w:hideMark/>
          </w:tcPr>
          <w:p w:rsidR="009D6B08" w:rsidRPr="009D6B08" w:rsidRDefault="009D6B08" w:rsidP="009D6B08">
            <w:pPr>
              <w:widowControl/>
              <w:jc w:val="left"/>
              <w:rPr>
                <w:rFonts w:ascii="Times New Roman" w:eastAsia="Times New Roman" w:hAnsi="Times New Roman" w:cs="Times New Roman"/>
                <w:kern w:val="0"/>
                <w:sz w:val="20"/>
                <w:szCs w:val="20"/>
              </w:rPr>
            </w:pPr>
          </w:p>
        </w:tc>
      </w:tr>
      <w:tr w:rsidR="009D6B08" w:rsidRPr="009D6B08" w:rsidTr="009D6B08">
        <w:tc>
          <w:tcPr>
            <w:tcW w:w="7095" w:type="dxa"/>
            <w:tcBorders>
              <w:top w:val="single" w:sz="6" w:space="0" w:color="auto"/>
              <w:left w:val="single" w:sz="6" w:space="0" w:color="auto"/>
              <w:bottom w:val="single" w:sz="6" w:space="0" w:color="auto"/>
              <w:right w:val="single" w:sz="6" w:space="0" w:color="auto"/>
            </w:tcBorders>
            <w:vAlign w:val="center"/>
            <w:hideMark/>
          </w:tcPr>
          <w:p w:rsidR="009D6B08" w:rsidRPr="009D6B08" w:rsidRDefault="009D6B08" w:rsidP="009D6B08">
            <w:pPr>
              <w:widowControl/>
              <w:spacing w:before="100" w:beforeAutospacing="1" w:after="100" w:afterAutospacing="1"/>
              <w:jc w:val="center"/>
              <w:rPr>
                <w:rFonts w:ascii="宋体" w:eastAsia="宋体" w:hAnsi="宋体" w:cs="宋体"/>
                <w:kern w:val="0"/>
                <w:sz w:val="24"/>
              </w:rPr>
            </w:pPr>
            <w:r w:rsidRPr="009D6B08">
              <w:rPr>
                <w:rFonts w:ascii="宋体" w:eastAsia="宋体" w:hAnsi="宋体" w:cs="宋体"/>
                <w:kern w:val="0"/>
                <w:sz w:val="24"/>
              </w:rPr>
              <w:t>交付の方法</w:t>
            </w:r>
          </w:p>
        </w:tc>
        <w:tc>
          <w:tcPr>
            <w:tcW w:w="3255" w:type="dxa"/>
            <w:tcBorders>
              <w:top w:val="single" w:sz="6" w:space="0" w:color="auto"/>
              <w:left w:val="single" w:sz="6" w:space="0" w:color="auto"/>
              <w:bottom w:val="single" w:sz="6" w:space="0" w:color="auto"/>
              <w:right w:val="single" w:sz="6" w:space="0" w:color="auto"/>
            </w:tcBorders>
            <w:vAlign w:val="center"/>
            <w:hideMark/>
          </w:tcPr>
          <w:p w:rsidR="009D6B08" w:rsidRPr="009D6B08" w:rsidRDefault="009D6B08" w:rsidP="009D6B08">
            <w:pPr>
              <w:widowControl/>
              <w:spacing w:before="100" w:beforeAutospacing="1" w:after="100" w:afterAutospacing="1"/>
              <w:jc w:val="center"/>
              <w:rPr>
                <w:rFonts w:ascii="宋体" w:eastAsia="宋体" w:hAnsi="宋体" w:cs="宋体"/>
                <w:kern w:val="0"/>
                <w:sz w:val="24"/>
              </w:rPr>
            </w:pPr>
            <w:r w:rsidRPr="009D6B08">
              <w:rPr>
                <w:rFonts w:ascii="宋体" w:eastAsia="宋体" w:hAnsi="宋体" w:cs="宋体"/>
                <w:kern w:val="0"/>
                <w:sz w:val="24"/>
              </w:rPr>
              <w:t>金額</w:t>
            </w:r>
          </w:p>
        </w:tc>
      </w:tr>
      <w:tr w:rsidR="009D6B08" w:rsidRPr="009D6B08" w:rsidTr="009D6B08">
        <w:tc>
          <w:tcPr>
            <w:tcW w:w="7095" w:type="dxa"/>
            <w:tcBorders>
              <w:top w:val="single" w:sz="6" w:space="0" w:color="auto"/>
              <w:left w:val="single" w:sz="6" w:space="0" w:color="auto"/>
              <w:bottom w:val="single" w:sz="6" w:space="0" w:color="auto"/>
              <w:right w:val="single" w:sz="6" w:space="0" w:color="auto"/>
            </w:tcBorders>
            <w:hideMark/>
          </w:tcPr>
          <w:p w:rsidR="009D6B08" w:rsidRPr="009D6B08" w:rsidRDefault="009D6B08" w:rsidP="009D6B08">
            <w:pPr>
              <w:widowControl/>
              <w:spacing w:before="100" w:beforeAutospacing="1" w:after="100" w:afterAutospacing="1"/>
              <w:ind w:left="200" w:hanging="200"/>
              <w:jc w:val="left"/>
              <w:rPr>
                <w:rFonts w:ascii="宋体" w:eastAsia="宋体" w:hAnsi="宋体" w:cs="宋体"/>
                <w:kern w:val="0"/>
                <w:sz w:val="24"/>
              </w:rPr>
            </w:pPr>
            <w:r w:rsidRPr="009D6B08">
              <w:rPr>
                <w:rFonts w:ascii="宋体" w:eastAsia="宋体" w:hAnsi="宋体" w:cs="宋体"/>
                <w:kern w:val="0"/>
                <w:sz w:val="24"/>
              </w:rPr>
              <w:t>１　書類、書面又は資料（以下「書類等」という。）を複写機により用紙（日本産業規格Ａ列４番又は日本産業規格Ａ列３番の大きさの用紙に限る。以下同じ。）に白黒で複写したものの交付</w:t>
            </w:r>
          </w:p>
        </w:tc>
        <w:tc>
          <w:tcPr>
            <w:tcW w:w="3255" w:type="dxa"/>
            <w:tcBorders>
              <w:top w:val="single" w:sz="6" w:space="0" w:color="auto"/>
              <w:left w:val="single" w:sz="6" w:space="0" w:color="auto"/>
              <w:bottom w:val="single" w:sz="6" w:space="0" w:color="auto"/>
              <w:right w:val="single" w:sz="6" w:space="0" w:color="auto"/>
            </w:tcBorders>
            <w:hideMark/>
          </w:tcPr>
          <w:p w:rsidR="009D6B08" w:rsidRPr="009D6B08" w:rsidRDefault="009D6B08" w:rsidP="009D6B08">
            <w:pPr>
              <w:widowControl/>
              <w:spacing w:before="100" w:beforeAutospacing="1" w:after="100" w:afterAutospacing="1"/>
              <w:jc w:val="left"/>
              <w:rPr>
                <w:rFonts w:ascii="宋体" w:eastAsia="宋体" w:hAnsi="宋体" w:cs="宋体"/>
                <w:kern w:val="0"/>
                <w:sz w:val="24"/>
              </w:rPr>
            </w:pPr>
            <w:r w:rsidRPr="009D6B08">
              <w:rPr>
                <w:rFonts w:ascii="宋体" w:eastAsia="宋体" w:hAnsi="宋体" w:cs="宋体"/>
                <w:kern w:val="0"/>
                <w:sz w:val="24"/>
              </w:rPr>
              <w:t>用紙１枚につき　10円</w:t>
            </w:r>
          </w:p>
        </w:tc>
      </w:tr>
      <w:tr w:rsidR="009D6B08" w:rsidRPr="009D6B08" w:rsidTr="009D6B08">
        <w:tc>
          <w:tcPr>
            <w:tcW w:w="7095" w:type="dxa"/>
            <w:tcBorders>
              <w:top w:val="single" w:sz="6" w:space="0" w:color="auto"/>
              <w:left w:val="single" w:sz="6" w:space="0" w:color="auto"/>
              <w:bottom w:val="single" w:sz="6" w:space="0" w:color="auto"/>
              <w:right w:val="single" w:sz="6" w:space="0" w:color="auto"/>
            </w:tcBorders>
            <w:hideMark/>
          </w:tcPr>
          <w:p w:rsidR="009D6B08" w:rsidRPr="009D6B08" w:rsidRDefault="009D6B08" w:rsidP="009D6B08">
            <w:pPr>
              <w:widowControl/>
              <w:spacing w:before="100" w:beforeAutospacing="1" w:after="100" w:afterAutospacing="1"/>
              <w:ind w:left="200" w:hanging="200"/>
              <w:jc w:val="left"/>
              <w:rPr>
                <w:rFonts w:ascii="宋体" w:eastAsia="宋体" w:hAnsi="宋体" w:cs="宋体"/>
                <w:kern w:val="0"/>
                <w:sz w:val="24"/>
              </w:rPr>
            </w:pPr>
            <w:r w:rsidRPr="009D6B08">
              <w:rPr>
                <w:rFonts w:ascii="宋体" w:eastAsia="宋体" w:hAnsi="宋体" w:cs="宋体"/>
                <w:kern w:val="0"/>
                <w:sz w:val="24"/>
              </w:rPr>
              <w:t>２　書類等を複写機により用紙にカラーで複写したものの交付</w:t>
            </w:r>
          </w:p>
        </w:tc>
        <w:tc>
          <w:tcPr>
            <w:tcW w:w="3255" w:type="dxa"/>
            <w:tcBorders>
              <w:top w:val="single" w:sz="6" w:space="0" w:color="auto"/>
              <w:left w:val="single" w:sz="6" w:space="0" w:color="auto"/>
              <w:bottom w:val="single" w:sz="6" w:space="0" w:color="auto"/>
              <w:right w:val="single" w:sz="6" w:space="0" w:color="auto"/>
            </w:tcBorders>
            <w:hideMark/>
          </w:tcPr>
          <w:p w:rsidR="009D6B08" w:rsidRPr="009D6B08" w:rsidRDefault="009D6B08" w:rsidP="009D6B08">
            <w:pPr>
              <w:widowControl/>
              <w:spacing w:before="100" w:beforeAutospacing="1" w:after="100" w:afterAutospacing="1"/>
              <w:jc w:val="left"/>
              <w:rPr>
                <w:rFonts w:ascii="宋体" w:eastAsia="宋体" w:hAnsi="宋体" w:cs="宋体"/>
                <w:kern w:val="0"/>
                <w:sz w:val="24"/>
              </w:rPr>
            </w:pPr>
            <w:r w:rsidRPr="009D6B08">
              <w:rPr>
                <w:rFonts w:ascii="宋体" w:eastAsia="宋体" w:hAnsi="宋体" w:cs="宋体"/>
                <w:kern w:val="0"/>
                <w:sz w:val="24"/>
              </w:rPr>
              <w:t>用紙１枚につき　40円</w:t>
            </w:r>
          </w:p>
        </w:tc>
      </w:tr>
      <w:tr w:rsidR="009D6B08" w:rsidRPr="009D6B08" w:rsidTr="009D6B08">
        <w:tc>
          <w:tcPr>
            <w:tcW w:w="7095" w:type="dxa"/>
            <w:tcBorders>
              <w:top w:val="single" w:sz="6" w:space="0" w:color="auto"/>
              <w:left w:val="single" w:sz="6" w:space="0" w:color="auto"/>
              <w:bottom w:val="single" w:sz="6" w:space="0" w:color="auto"/>
              <w:right w:val="single" w:sz="6" w:space="0" w:color="auto"/>
            </w:tcBorders>
            <w:hideMark/>
          </w:tcPr>
          <w:p w:rsidR="009D6B08" w:rsidRPr="009D6B08" w:rsidRDefault="009D6B08" w:rsidP="009D6B08">
            <w:pPr>
              <w:widowControl/>
              <w:spacing w:before="100" w:beforeAutospacing="1" w:after="100" w:afterAutospacing="1"/>
              <w:ind w:left="200" w:hanging="200"/>
              <w:jc w:val="left"/>
              <w:rPr>
                <w:rFonts w:ascii="宋体" w:eastAsia="宋体" w:hAnsi="宋体" w:cs="宋体"/>
                <w:kern w:val="0"/>
                <w:sz w:val="24"/>
              </w:rPr>
            </w:pPr>
            <w:r w:rsidRPr="009D6B08">
              <w:rPr>
                <w:rFonts w:ascii="宋体" w:eastAsia="宋体" w:hAnsi="宋体" w:cs="宋体"/>
                <w:kern w:val="0"/>
                <w:sz w:val="24"/>
              </w:rPr>
              <w:t>３　電磁的記録に記録された事項を用紙に白黒で出力したものの交付</w:t>
            </w:r>
          </w:p>
        </w:tc>
        <w:tc>
          <w:tcPr>
            <w:tcW w:w="3255" w:type="dxa"/>
            <w:tcBorders>
              <w:top w:val="single" w:sz="6" w:space="0" w:color="auto"/>
              <w:left w:val="single" w:sz="6" w:space="0" w:color="auto"/>
              <w:bottom w:val="single" w:sz="6" w:space="0" w:color="auto"/>
              <w:right w:val="single" w:sz="6" w:space="0" w:color="auto"/>
            </w:tcBorders>
            <w:hideMark/>
          </w:tcPr>
          <w:p w:rsidR="009D6B08" w:rsidRPr="009D6B08" w:rsidRDefault="009D6B08" w:rsidP="009D6B08">
            <w:pPr>
              <w:widowControl/>
              <w:spacing w:before="100" w:beforeAutospacing="1" w:after="100" w:afterAutospacing="1"/>
              <w:jc w:val="left"/>
              <w:rPr>
                <w:rFonts w:ascii="宋体" w:eastAsia="宋体" w:hAnsi="宋体" w:cs="宋体"/>
                <w:kern w:val="0"/>
                <w:sz w:val="24"/>
              </w:rPr>
            </w:pPr>
            <w:r w:rsidRPr="009D6B08">
              <w:rPr>
                <w:rFonts w:ascii="宋体" w:eastAsia="宋体" w:hAnsi="宋体" w:cs="宋体"/>
                <w:kern w:val="0"/>
                <w:sz w:val="24"/>
              </w:rPr>
              <w:t>用紙１枚につき　10円</w:t>
            </w:r>
          </w:p>
        </w:tc>
      </w:tr>
      <w:tr w:rsidR="009D6B08" w:rsidRPr="009D6B08" w:rsidTr="009D6B08">
        <w:tc>
          <w:tcPr>
            <w:tcW w:w="7095" w:type="dxa"/>
            <w:tcBorders>
              <w:top w:val="single" w:sz="6" w:space="0" w:color="auto"/>
              <w:left w:val="single" w:sz="6" w:space="0" w:color="auto"/>
              <w:bottom w:val="single" w:sz="6" w:space="0" w:color="auto"/>
              <w:right w:val="single" w:sz="6" w:space="0" w:color="auto"/>
            </w:tcBorders>
            <w:hideMark/>
          </w:tcPr>
          <w:p w:rsidR="009D6B08" w:rsidRPr="009D6B08" w:rsidRDefault="009D6B08" w:rsidP="009D6B08">
            <w:pPr>
              <w:widowControl/>
              <w:spacing w:before="100" w:beforeAutospacing="1" w:after="100" w:afterAutospacing="1"/>
              <w:ind w:left="200" w:hanging="200"/>
              <w:jc w:val="left"/>
              <w:rPr>
                <w:rFonts w:ascii="宋体" w:eastAsia="宋体" w:hAnsi="宋体" w:cs="宋体"/>
                <w:kern w:val="0"/>
                <w:sz w:val="24"/>
              </w:rPr>
            </w:pPr>
            <w:r w:rsidRPr="009D6B08">
              <w:rPr>
                <w:rFonts w:ascii="宋体" w:eastAsia="宋体" w:hAnsi="宋体" w:cs="宋体"/>
                <w:kern w:val="0"/>
                <w:sz w:val="24"/>
              </w:rPr>
              <w:lastRenderedPageBreak/>
              <w:t>４　電磁的記録に記録された事項を用紙にカラーで出力したものの交付</w:t>
            </w:r>
          </w:p>
        </w:tc>
        <w:tc>
          <w:tcPr>
            <w:tcW w:w="3255" w:type="dxa"/>
            <w:tcBorders>
              <w:top w:val="single" w:sz="6" w:space="0" w:color="auto"/>
              <w:left w:val="single" w:sz="6" w:space="0" w:color="auto"/>
              <w:bottom w:val="single" w:sz="6" w:space="0" w:color="auto"/>
              <w:right w:val="single" w:sz="6" w:space="0" w:color="auto"/>
            </w:tcBorders>
            <w:hideMark/>
          </w:tcPr>
          <w:p w:rsidR="009D6B08" w:rsidRPr="009D6B08" w:rsidRDefault="009D6B08" w:rsidP="009D6B08">
            <w:pPr>
              <w:widowControl/>
              <w:spacing w:before="100" w:beforeAutospacing="1" w:after="100" w:afterAutospacing="1"/>
              <w:jc w:val="left"/>
              <w:rPr>
                <w:rFonts w:ascii="宋体" w:eastAsia="宋体" w:hAnsi="宋体" w:cs="宋体"/>
                <w:kern w:val="0"/>
                <w:sz w:val="24"/>
              </w:rPr>
            </w:pPr>
            <w:r w:rsidRPr="009D6B08">
              <w:rPr>
                <w:rFonts w:ascii="宋体" w:eastAsia="宋体" w:hAnsi="宋体" w:cs="宋体"/>
                <w:kern w:val="0"/>
                <w:sz w:val="24"/>
              </w:rPr>
              <w:t>用紙１枚につき　40円</w:t>
            </w:r>
          </w:p>
        </w:tc>
      </w:tr>
    </w:tbl>
    <w:p w:rsidR="009D6B08" w:rsidRPr="009D6B08" w:rsidRDefault="009D6B08" w:rsidP="009D6B08">
      <w:pPr>
        <w:widowControl/>
        <w:ind w:hanging="200"/>
        <w:jc w:val="left"/>
        <w:rPr>
          <w:rFonts w:ascii="PingFang SC" w:eastAsia="PingFang SC" w:hAnsi="PingFang SC" w:cs="宋体"/>
          <w:color w:val="000000"/>
          <w:kern w:val="0"/>
          <w:sz w:val="27"/>
          <w:szCs w:val="27"/>
        </w:rPr>
      </w:pPr>
    </w:p>
    <w:p w:rsidR="009D6B08" w:rsidRPr="009D6B08" w:rsidRDefault="009D6B08" w:rsidP="009D6B08">
      <w:pPr>
        <w:widowControl/>
        <w:ind w:hanging="400"/>
        <w:jc w:val="left"/>
        <w:rPr>
          <w:rFonts w:ascii="PingFang SC" w:eastAsia="PingFang SC" w:hAnsi="PingFang SC" w:cs="宋体" w:hint="eastAsia"/>
          <w:color w:val="000000"/>
          <w:kern w:val="0"/>
          <w:sz w:val="27"/>
          <w:szCs w:val="27"/>
        </w:rPr>
      </w:pPr>
      <w:bookmarkStart w:id="47" w:name="JUMP_SEQ_24"/>
      <w:bookmarkEnd w:id="47"/>
      <w:r w:rsidRPr="009D6B08">
        <w:rPr>
          <w:rFonts w:ascii="PingFang SC" w:eastAsia="PingFang SC" w:hAnsi="PingFang SC" w:cs="宋体" w:hint="eastAsia"/>
          <w:color w:val="000000"/>
          <w:kern w:val="0"/>
          <w:sz w:val="27"/>
          <w:szCs w:val="27"/>
        </w:rPr>
        <w:t>備考　両面に複写され、又は出力された用紙については、片面を用紙１枚として手数料の額を算定する。</w:t>
      </w:r>
    </w:p>
    <w:p w:rsidR="009D6B08" w:rsidRPr="009D6B08" w:rsidRDefault="009D6B08" w:rsidP="009D6B08">
      <w:pPr>
        <w:widowControl/>
        <w:jc w:val="left"/>
        <w:rPr>
          <w:rFonts w:ascii="PingFang SC" w:eastAsia="PingFang SC" w:hAnsi="PingFang SC" w:cs="宋体" w:hint="eastAsia"/>
          <w:i/>
          <w:iCs/>
          <w:color w:val="800000"/>
          <w:kern w:val="0"/>
          <w:sz w:val="27"/>
          <w:szCs w:val="27"/>
        </w:rPr>
      </w:pPr>
      <w:bookmarkStart w:id="48" w:name="JUMP_SEQ_25"/>
      <w:bookmarkEnd w:id="48"/>
      <w:r w:rsidRPr="009D6B08">
        <w:rPr>
          <w:rFonts w:ascii="PingFang SC" w:eastAsia="PingFang SC" w:hAnsi="PingFang SC" w:cs="宋体" w:hint="eastAsia"/>
          <w:i/>
          <w:iCs/>
          <w:color w:val="800000"/>
          <w:kern w:val="0"/>
          <w:sz w:val="27"/>
          <w:szCs w:val="27"/>
        </w:rPr>
        <w:t>一部改正〔令和元年条例２号〕</w:t>
      </w:r>
    </w:p>
    <w:p w:rsidR="009D6B08" w:rsidRDefault="009D6B08">
      <w:bookmarkStart w:id="49" w:name="_GoBack"/>
      <w:bookmarkEnd w:id="49"/>
    </w:p>
    <w:p w:rsidR="009D6B08" w:rsidRDefault="009D6B08"/>
    <w:p w:rsidR="009D6B08" w:rsidRDefault="009D6B08"/>
    <w:p w:rsidR="009D6B08" w:rsidRDefault="009D6B08"/>
    <w:p w:rsidR="009D6B08" w:rsidRDefault="009D6B08">
      <w:pPr>
        <w:rPr>
          <w:rFonts w:hint="eastAsia"/>
        </w:rPr>
      </w:pPr>
    </w:p>
    <w:sectPr w:rsidR="009D6B08"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08"/>
    <w:rsid w:val="009D6B08"/>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99AE"/>
  <w15:chartTrackingRefBased/>
  <w15:docId w15:val="{AB989FEB-58F3-5349-80EA-B5C76B75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6B08"/>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9D6B08"/>
    <w:rPr>
      <w:color w:val="0000FF"/>
      <w:u w:val="single"/>
    </w:rPr>
  </w:style>
  <w:style w:type="paragraph" w:customStyle="1" w:styleId="rrrt3701">
    <w:name w:val="rrrt37_0_1"/>
    <w:basedOn w:val="a"/>
    <w:rsid w:val="009D6B0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798572212">
          <w:marLeft w:val="800"/>
          <w:marRight w:val="0"/>
          <w:marTop w:val="0"/>
          <w:marBottom w:val="0"/>
          <w:divBdr>
            <w:top w:val="none" w:sz="0" w:space="0" w:color="auto"/>
            <w:left w:val="none" w:sz="0" w:space="0" w:color="auto"/>
            <w:bottom w:val="none" w:sz="0" w:space="0" w:color="auto"/>
            <w:right w:val="none" w:sz="0" w:space="0" w:color="auto"/>
          </w:divBdr>
        </w:div>
        <w:div w:id="330717351">
          <w:marLeft w:val="5000"/>
          <w:marRight w:val="0"/>
          <w:marTop w:val="0"/>
          <w:marBottom w:val="0"/>
          <w:divBdr>
            <w:top w:val="none" w:sz="0" w:space="0" w:color="auto"/>
            <w:left w:val="none" w:sz="0" w:space="0" w:color="auto"/>
            <w:bottom w:val="none" w:sz="0" w:space="0" w:color="auto"/>
            <w:right w:val="none" w:sz="0" w:space="0" w:color="auto"/>
          </w:divBdr>
        </w:div>
        <w:div w:id="196821017">
          <w:marLeft w:val="1200"/>
          <w:marRight w:val="0"/>
          <w:marTop w:val="0"/>
          <w:marBottom w:val="0"/>
          <w:divBdr>
            <w:top w:val="none" w:sz="0" w:space="0" w:color="auto"/>
            <w:left w:val="none" w:sz="0" w:space="0" w:color="auto"/>
            <w:bottom w:val="none" w:sz="0" w:space="0" w:color="auto"/>
            <w:right w:val="none" w:sz="0" w:space="0" w:color="auto"/>
          </w:divBdr>
        </w:div>
        <w:div w:id="553929286">
          <w:marLeft w:val="600"/>
          <w:marRight w:val="0"/>
          <w:marTop w:val="0"/>
          <w:marBottom w:val="0"/>
          <w:divBdr>
            <w:top w:val="none" w:sz="0" w:space="0" w:color="auto"/>
            <w:left w:val="none" w:sz="0" w:space="0" w:color="auto"/>
            <w:bottom w:val="none" w:sz="0" w:space="0" w:color="auto"/>
            <w:right w:val="none" w:sz="0" w:space="0" w:color="auto"/>
          </w:divBdr>
        </w:div>
        <w:div w:id="1842308412">
          <w:marLeft w:val="200"/>
          <w:marRight w:val="0"/>
          <w:marTop w:val="0"/>
          <w:marBottom w:val="0"/>
          <w:divBdr>
            <w:top w:val="none" w:sz="0" w:space="0" w:color="auto"/>
            <w:left w:val="none" w:sz="0" w:space="0" w:color="auto"/>
            <w:bottom w:val="none" w:sz="0" w:space="0" w:color="auto"/>
            <w:right w:val="none" w:sz="0" w:space="0" w:color="auto"/>
          </w:divBdr>
        </w:div>
        <w:div w:id="1166675445">
          <w:marLeft w:val="200"/>
          <w:marRight w:val="0"/>
          <w:marTop w:val="0"/>
          <w:marBottom w:val="0"/>
          <w:divBdr>
            <w:top w:val="none" w:sz="0" w:space="0" w:color="auto"/>
            <w:left w:val="none" w:sz="0" w:space="0" w:color="auto"/>
            <w:bottom w:val="none" w:sz="0" w:space="0" w:color="auto"/>
            <w:right w:val="none" w:sz="0" w:space="0" w:color="auto"/>
          </w:divBdr>
        </w:div>
        <w:div w:id="60838342">
          <w:marLeft w:val="200"/>
          <w:marRight w:val="0"/>
          <w:marTop w:val="0"/>
          <w:marBottom w:val="0"/>
          <w:divBdr>
            <w:top w:val="none" w:sz="0" w:space="0" w:color="auto"/>
            <w:left w:val="none" w:sz="0" w:space="0" w:color="auto"/>
            <w:bottom w:val="none" w:sz="0" w:space="0" w:color="auto"/>
            <w:right w:val="none" w:sz="0" w:space="0" w:color="auto"/>
          </w:divBdr>
        </w:div>
        <w:div w:id="1042242671">
          <w:marLeft w:val="200"/>
          <w:marRight w:val="0"/>
          <w:marTop w:val="0"/>
          <w:marBottom w:val="0"/>
          <w:divBdr>
            <w:top w:val="none" w:sz="0" w:space="0" w:color="auto"/>
            <w:left w:val="none" w:sz="0" w:space="0" w:color="auto"/>
            <w:bottom w:val="none" w:sz="0" w:space="0" w:color="auto"/>
            <w:right w:val="none" w:sz="0" w:space="0" w:color="auto"/>
          </w:divBdr>
        </w:div>
        <w:div w:id="812407615">
          <w:marLeft w:val="200"/>
          <w:marRight w:val="0"/>
          <w:marTop w:val="0"/>
          <w:marBottom w:val="0"/>
          <w:divBdr>
            <w:top w:val="none" w:sz="0" w:space="0" w:color="auto"/>
            <w:left w:val="none" w:sz="0" w:space="0" w:color="auto"/>
            <w:bottom w:val="none" w:sz="0" w:space="0" w:color="auto"/>
            <w:right w:val="none" w:sz="0" w:space="0" w:color="auto"/>
          </w:divBdr>
        </w:div>
        <w:div w:id="731462743">
          <w:marLeft w:val="200"/>
          <w:marRight w:val="0"/>
          <w:marTop w:val="0"/>
          <w:marBottom w:val="0"/>
          <w:divBdr>
            <w:top w:val="none" w:sz="0" w:space="0" w:color="auto"/>
            <w:left w:val="none" w:sz="0" w:space="0" w:color="auto"/>
            <w:bottom w:val="none" w:sz="0" w:space="0" w:color="auto"/>
            <w:right w:val="none" w:sz="0" w:space="0" w:color="auto"/>
          </w:divBdr>
        </w:div>
        <w:div w:id="1929385736">
          <w:marLeft w:val="200"/>
          <w:marRight w:val="0"/>
          <w:marTop w:val="0"/>
          <w:marBottom w:val="0"/>
          <w:divBdr>
            <w:top w:val="none" w:sz="0" w:space="0" w:color="auto"/>
            <w:left w:val="none" w:sz="0" w:space="0" w:color="auto"/>
            <w:bottom w:val="none" w:sz="0" w:space="0" w:color="auto"/>
            <w:right w:val="none" w:sz="0" w:space="0" w:color="auto"/>
          </w:divBdr>
        </w:div>
        <w:div w:id="772092145">
          <w:marLeft w:val="200"/>
          <w:marRight w:val="0"/>
          <w:marTop w:val="0"/>
          <w:marBottom w:val="0"/>
          <w:divBdr>
            <w:top w:val="none" w:sz="0" w:space="0" w:color="auto"/>
            <w:left w:val="none" w:sz="0" w:space="0" w:color="auto"/>
            <w:bottom w:val="none" w:sz="0" w:space="0" w:color="auto"/>
            <w:right w:val="none" w:sz="0" w:space="0" w:color="auto"/>
          </w:divBdr>
        </w:div>
        <w:div w:id="861281432">
          <w:marLeft w:val="200"/>
          <w:marRight w:val="0"/>
          <w:marTop w:val="0"/>
          <w:marBottom w:val="0"/>
          <w:divBdr>
            <w:top w:val="none" w:sz="0" w:space="0" w:color="auto"/>
            <w:left w:val="none" w:sz="0" w:space="0" w:color="auto"/>
            <w:bottom w:val="none" w:sz="0" w:space="0" w:color="auto"/>
            <w:right w:val="none" w:sz="0" w:space="0" w:color="auto"/>
          </w:divBdr>
        </w:div>
        <w:div w:id="1923104567">
          <w:marLeft w:val="200"/>
          <w:marRight w:val="0"/>
          <w:marTop w:val="0"/>
          <w:marBottom w:val="0"/>
          <w:divBdr>
            <w:top w:val="none" w:sz="0" w:space="0" w:color="auto"/>
            <w:left w:val="none" w:sz="0" w:space="0" w:color="auto"/>
            <w:bottom w:val="none" w:sz="0" w:space="0" w:color="auto"/>
            <w:right w:val="none" w:sz="0" w:space="0" w:color="auto"/>
          </w:divBdr>
        </w:div>
        <w:div w:id="1071847794">
          <w:marLeft w:val="600"/>
          <w:marRight w:val="0"/>
          <w:marTop w:val="0"/>
          <w:marBottom w:val="0"/>
          <w:divBdr>
            <w:top w:val="none" w:sz="0" w:space="0" w:color="auto"/>
            <w:left w:val="none" w:sz="0" w:space="0" w:color="auto"/>
            <w:bottom w:val="none" w:sz="0" w:space="0" w:color="auto"/>
            <w:right w:val="none" w:sz="0" w:space="0" w:color="auto"/>
          </w:divBdr>
        </w:div>
        <w:div w:id="1180772728">
          <w:marLeft w:val="600"/>
          <w:marRight w:val="0"/>
          <w:marTop w:val="0"/>
          <w:marBottom w:val="0"/>
          <w:divBdr>
            <w:top w:val="none" w:sz="0" w:space="0" w:color="auto"/>
            <w:left w:val="none" w:sz="0" w:space="0" w:color="auto"/>
            <w:bottom w:val="none" w:sz="0" w:space="0" w:color="auto"/>
            <w:right w:val="none" w:sz="0" w:space="0" w:color="auto"/>
          </w:divBdr>
        </w:div>
        <w:div w:id="105779526">
          <w:marLeft w:val="200"/>
          <w:marRight w:val="0"/>
          <w:marTop w:val="0"/>
          <w:marBottom w:val="0"/>
          <w:divBdr>
            <w:top w:val="none" w:sz="0" w:space="0" w:color="auto"/>
            <w:left w:val="none" w:sz="0" w:space="0" w:color="auto"/>
            <w:bottom w:val="none" w:sz="0" w:space="0" w:color="auto"/>
            <w:right w:val="none" w:sz="0" w:space="0" w:color="auto"/>
          </w:divBdr>
        </w:div>
        <w:div w:id="661082731">
          <w:marLeft w:val="600"/>
          <w:marRight w:val="0"/>
          <w:marTop w:val="0"/>
          <w:marBottom w:val="0"/>
          <w:divBdr>
            <w:top w:val="none" w:sz="0" w:space="0" w:color="auto"/>
            <w:left w:val="none" w:sz="0" w:space="0" w:color="auto"/>
            <w:bottom w:val="none" w:sz="0" w:space="0" w:color="auto"/>
            <w:right w:val="none" w:sz="0" w:space="0" w:color="auto"/>
          </w:divBdr>
        </w:div>
        <w:div w:id="2068917532">
          <w:marLeft w:val="1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3-jg.d1-law.com/kanagawa-ken/HTML_TMP/svhtml1359763641.0.Mokuji.29.0.DATA.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2022-06-21T12:05:00Z</dcterms:created>
  <dcterms:modified xsi:type="dcterms:W3CDTF">2022-06-21T12:05:00Z</dcterms:modified>
</cp:coreProperties>
</file>