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C4F2C">
      <w:pPr>
        <w:spacing w:line="350" w:lineRule="atLeast"/>
        <w:ind w:left="840" w:hanging="210"/>
        <w:rPr>
          <w:rFonts w:ascii="Century" w:eastAsia="俵俽 柧挬" w:hAnsi="俵俽 柧挬" w:cs="俵俽 柧挬"/>
          <w:color w:val="000000"/>
        </w:rPr>
      </w:pPr>
      <w:bookmarkStart w:id="0" w:name="_GoBack"/>
      <w:bookmarkEnd w:id="0"/>
      <w:r>
        <w:rPr>
          <w:rFonts w:ascii="Century" w:eastAsia="俵俽 柧挬" w:hAnsi="俵俽 柧挬" w:cs="俵俽 柧挬" w:hint="eastAsia"/>
          <w:color w:val="000000"/>
        </w:rPr>
        <w:t>○東京都受動喫煙防止条例施行規則</w:t>
      </w:r>
    </w:p>
    <w:p w:rsidR="00000000" w:rsidRDefault="004C4F2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平成三一年三月二九日</w:t>
      </w:r>
    </w:p>
    <w:p w:rsidR="00000000" w:rsidRDefault="004C4F2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規則第九五号</w:t>
      </w:r>
    </w:p>
    <w:p w:rsidR="00000000" w:rsidRDefault="004C4F2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改正　令和元年六月二六日規則第一五号</w:t>
      </w:r>
    </w:p>
    <w:p w:rsidR="00000000" w:rsidRDefault="004C4F2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東京都受動喫煙防止条例施行規則を公布する。</w:t>
      </w:r>
    </w:p>
    <w:p w:rsidR="00000000" w:rsidRDefault="004C4F2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東京都受動喫煙防止条例施行規則</w:t>
      </w:r>
    </w:p>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趣旨</w:t>
      </w:r>
      <w:r>
        <w:rPr>
          <w:rFonts w:ascii="Century" w:eastAsia="俵俽 柧挬" w:hAnsi="俵俽 柧挬" w:cs="俵俽 柧挬"/>
          <w:color w:val="000000"/>
        </w:rPr>
        <w:t>)</w:t>
      </w:r>
    </w:p>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この規則は、東京都受動喫煙防止条例</w:t>
      </w:r>
      <w:r>
        <w:rPr>
          <w:rFonts w:ascii="Century" w:eastAsia="俵俽 柧挬" w:hAnsi="俵俽 柧挬" w:cs="俵俽 柧挬"/>
          <w:color w:val="000000"/>
        </w:rPr>
        <w:t>(</w:t>
      </w:r>
      <w:r>
        <w:rPr>
          <w:rFonts w:ascii="Century" w:eastAsia="俵俽 柧挬" w:hAnsi="俵俽 柧挬" w:cs="俵俽 柧挬" w:hint="eastAsia"/>
          <w:color w:val="000000"/>
        </w:rPr>
        <w:t>平成三十年東京都条例第七十五号。以下「条例」という。</w:t>
      </w:r>
      <w:r>
        <w:rPr>
          <w:rFonts w:ascii="Century" w:eastAsia="俵俽 柧挬" w:hAnsi="俵俽 柧挬" w:cs="俵俽 柧挬"/>
          <w:color w:val="000000"/>
        </w:rPr>
        <w:t>)</w:t>
      </w:r>
      <w:r>
        <w:rPr>
          <w:rFonts w:ascii="Century" w:eastAsia="俵俽 柧挬" w:hAnsi="俵俽 柧挬" w:cs="俵俽 柧挬" w:hint="eastAsia"/>
          <w:color w:val="000000"/>
        </w:rPr>
        <w:t>の施行について必要な事項を定めるものとする。</w:t>
      </w:r>
    </w:p>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用語</w:t>
      </w:r>
      <w:r>
        <w:rPr>
          <w:rFonts w:ascii="Century" w:eastAsia="俵俽 柧挬" w:hAnsi="俵俽 柧挬" w:cs="俵俽 柧挬"/>
          <w:color w:val="000000"/>
        </w:rPr>
        <w:t>)</w:t>
      </w:r>
    </w:p>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この規則で使用する用語は、条例で使用する用語の例による。</w:t>
      </w:r>
    </w:p>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喫煙可能室設置の届出等</w:t>
      </w:r>
      <w:r>
        <w:rPr>
          <w:rFonts w:ascii="Century" w:eastAsia="俵俽 柧挬" w:hAnsi="俵俽 柧挬" w:cs="俵俽 柧挬"/>
          <w:color w:val="000000"/>
        </w:rPr>
        <w:t>)</w:t>
      </w:r>
    </w:p>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都指定特定飲食提供施設における喫煙可能室設置施設の管理権原者は</w:t>
      </w:r>
      <w:r>
        <w:rPr>
          <w:rFonts w:ascii="Century" w:eastAsia="俵俽 柧挬" w:hAnsi="俵俽 柧挬" w:cs="俵俽 柧挬" w:hint="eastAsia"/>
          <w:color w:val="000000"/>
        </w:rPr>
        <w:t>、喫煙可能室</w:t>
      </w:r>
      <w:r>
        <w:rPr>
          <w:rFonts w:ascii="Century" w:eastAsia="俵俽 柧挬" w:hAnsi="俵俽 柧挬" w:cs="俵俽 柧挬"/>
          <w:color w:val="000000"/>
        </w:rPr>
        <w:t>(</w:t>
      </w:r>
      <w:r>
        <w:rPr>
          <w:rFonts w:ascii="Century" w:eastAsia="俵俽 柧挬" w:hAnsi="俵俽 柧挬" w:cs="俵俽 柧挬" w:hint="eastAsia"/>
          <w:color w:val="000000"/>
        </w:rPr>
        <w:t>改正法附則第二条第一項の規定により読み替えられた法第三十三条第三項に規定する喫煙可能室をいう。</w:t>
      </w:r>
      <w:r>
        <w:rPr>
          <w:rFonts w:ascii="Century" w:eastAsia="俵俽 柧挬" w:hAnsi="俵俽 柧挬" w:cs="俵俽 柧挬"/>
          <w:color w:val="000000"/>
        </w:rPr>
        <w:t>)</w:t>
      </w:r>
      <w:r>
        <w:rPr>
          <w:rFonts w:ascii="Century" w:eastAsia="俵俽 柧挬" w:hAnsi="俵俽 柧挬" w:cs="俵俽 柧挬" w:hint="eastAsia"/>
          <w:color w:val="000000"/>
        </w:rPr>
        <w:t>を設置したときは、速やかに、別記第一号様式により、知事に、従業員がいない旨を届け出るものとする。</w:t>
      </w:r>
    </w:p>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条例第九条第二項に規定する規則で定める書類は、従業員への給料賃金の支払いがないことを示す資料とする。</w:t>
      </w:r>
    </w:p>
    <w:p w:rsidR="00000000" w:rsidRDefault="004C4F2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令元規則一五</w:t>
      </w:r>
      <w:r>
        <w:rPr>
          <w:rFonts w:ascii="MS Mincho" w:eastAsia="MS Mincho" w:hAnsi="MS Mincho" w:cs="MS Mincho" w:hint="eastAsia"/>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飲食店等における標識の掲示</w:t>
      </w:r>
      <w:r>
        <w:rPr>
          <w:rFonts w:ascii="Century" w:eastAsia="俵俽 柧挬" w:hAnsi="俵俽 柧挬" w:cs="俵俽 柧挬"/>
          <w:color w:val="000000"/>
        </w:rPr>
        <w:t>)</w:t>
      </w:r>
    </w:p>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第四条　条例第九条第三項の規定による掲示は、当該施設の屋内又は内部の場所に喫煙をすることができる場所がない旨を容易に識別できるようにするものと</w:t>
      </w:r>
      <w:r>
        <w:rPr>
          <w:rFonts w:ascii="Century" w:eastAsia="俵俽 柧挬" w:hAnsi="俵俽 柧挬" w:cs="俵俽 柧挬" w:hint="eastAsia"/>
          <w:color w:val="000000"/>
        </w:rPr>
        <w:t>する。</w:t>
      </w:r>
    </w:p>
    <w:p w:rsidR="00000000" w:rsidRDefault="004C4F2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令元規則一五</w:t>
      </w:r>
      <w:r>
        <w:rPr>
          <w:rFonts w:ascii="MS Mincho" w:eastAsia="MS Mincho" w:hAnsi="MS Mincho" w:cs="MS Mincho" w:hint="eastAsia"/>
          <w:color w:val="000000"/>
        </w:rPr>
        <w:t>・</w:t>
      </w:r>
      <w:r>
        <w:rPr>
          <w:rFonts w:ascii="等线" w:eastAsia="等线" w:hAnsi="等线" w:cs="等线" w:hint="eastAsia"/>
          <w:color w:val="000000"/>
        </w:rPr>
        <w:t>旧第六条繰上</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特定屋外喫煙場所を設けないよう努める施設</w:t>
      </w:r>
      <w:r>
        <w:rPr>
          <w:rFonts w:ascii="Century" w:eastAsia="俵俽 柧挬" w:hAnsi="俵俽 柧挬" w:cs="俵俽 柧挬"/>
          <w:color w:val="000000"/>
        </w:rPr>
        <w:t>)</w:t>
      </w:r>
    </w:p>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第五条　条例第九条第四項に規定する規則で定める施設は、次に掲げる施設とする。</w:t>
      </w:r>
    </w:p>
    <w:p w:rsidR="00000000" w:rsidRDefault="004C4F2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学校教育法</w:t>
      </w:r>
      <w:r>
        <w:rPr>
          <w:rFonts w:ascii="Century" w:eastAsia="俵俽 柧挬" w:hAnsi="俵俽 柧挬" w:cs="俵俽 柧挬"/>
          <w:color w:val="000000"/>
        </w:rPr>
        <w:t>(</w:t>
      </w:r>
      <w:r>
        <w:rPr>
          <w:rFonts w:ascii="Century" w:eastAsia="俵俽 柧挬" w:hAnsi="俵俽 柧挬" w:cs="俵俽 柧挬" w:hint="eastAsia"/>
          <w:color w:val="000000"/>
        </w:rPr>
        <w:t>昭和二十二年法律第二十六号</w:t>
      </w:r>
      <w:r>
        <w:rPr>
          <w:rFonts w:ascii="Century" w:eastAsia="俵俽 柧挬" w:hAnsi="俵俽 柧挬" w:cs="俵俽 柧挬"/>
          <w:color w:val="000000"/>
        </w:rPr>
        <w:t>)</w:t>
      </w:r>
      <w:r>
        <w:rPr>
          <w:rFonts w:ascii="Century" w:eastAsia="俵俽 柧挬" w:hAnsi="俵俽 柧挬" w:cs="俵俽 柧挬" w:hint="eastAsia"/>
          <w:color w:val="000000"/>
        </w:rPr>
        <w:t>第百二十四条に規定する専修学校</w:t>
      </w:r>
      <w:r>
        <w:rPr>
          <w:rFonts w:ascii="Century" w:eastAsia="俵俽 柧挬" w:hAnsi="俵俽 柧挬" w:cs="俵俽 柧挬"/>
          <w:color w:val="000000"/>
        </w:rPr>
        <w:t>(</w:t>
      </w:r>
      <w:r>
        <w:rPr>
          <w:rFonts w:ascii="Century" w:eastAsia="俵俽 柧挬" w:hAnsi="俵俽 柧挬" w:cs="俵俽 柧挬" w:hint="eastAsia"/>
          <w:color w:val="000000"/>
        </w:rPr>
        <w:t>高等課程又は一般課程</w:t>
      </w:r>
      <w:r>
        <w:rPr>
          <w:rFonts w:ascii="Century" w:eastAsia="俵俽 柧挬" w:hAnsi="俵俽 柧挬" w:cs="俵俽 柧挬"/>
          <w:color w:val="000000"/>
        </w:rPr>
        <w:t>(</w:t>
      </w:r>
      <w:r>
        <w:rPr>
          <w:rFonts w:ascii="Century" w:eastAsia="俵俽 柧挬" w:hAnsi="俵俽 柧挬" w:cs="俵俽 柧挬" w:hint="eastAsia"/>
          <w:color w:val="000000"/>
        </w:rPr>
        <w:t>一般課程においては、二十歳未満の者が主として利用するものに限る。</w:t>
      </w:r>
      <w:r>
        <w:rPr>
          <w:rFonts w:ascii="Century" w:eastAsia="俵俽 柧挬" w:hAnsi="俵俽 柧挬" w:cs="俵俽 柧挬"/>
          <w:color w:val="000000"/>
        </w:rPr>
        <w:t>)</w:t>
      </w:r>
      <w:r>
        <w:rPr>
          <w:rFonts w:ascii="Century" w:eastAsia="俵俽 柧挬" w:hAnsi="俵俽 柧挬" w:cs="俵俽 柧挬" w:hint="eastAsia"/>
          <w:color w:val="000000"/>
        </w:rPr>
        <w:t>を有するものに限る。</w:t>
      </w:r>
      <w:r>
        <w:rPr>
          <w:rFonts w:ascii="Century" w:eastAsia="俵俽 柧挬" w:hAnsi="俵俽 柧挬" w:cs="俵俽 柧挬"/>
          <w:color w:val="000000"/>
        </w:rPr>
        <w:t>)</w:t>
      </w:r>
    </w:p>
    <w:p w:rsidR="00000000" w:rsidRDefault="004C4F2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学校教育法第百三十四条第一項に規定する各種学校</w:t>
      </w:r>
      <w:r>
        <w:rPr>
          <w:rFonts w:ascii="Century" w:eastAsia="俵俽 柧挬" w:hAnsi="俵俽 柧挬" w:cs="俵俽 柧挬"/>
          <w:color w:val="000000"/>
        </w:rPr>
        <w:t>(</w:t>
      </w:r>
      <w:r>
        <w:rPr>
          <w:rFonts w:ascii="Century" w:eastAsia="俵俽 柧挬" w:hAnsi="俵俽 柧挬" w:cs="俵俽 柧挬" w:hint="eastAsia"/>
          <w:color w:val="000000"/>
        </w:rPr>
        <w:t>高等学校等就学支援金の支給に関する法律施行規則</w:t>
      </w:r>
      <w:r>
        <w:rPr>
          <w:rFonts w:ascii="Century" w:eastAsia="俵俽 柧挬" w:hAnsi="俵俽 柧挬" w:cs="俵俽 柧挬"/>
          <w:color w:val="000000"/>
        </w:rPr>
        <w:t>(</w:t>
      </w:r>
      <w:r>
        <w:rPr>
          <w:rFonts w:ascii="Century" w:eastAsia="俵俽 柧挬" w:hAnsi="俵俽 柧挬" w:cs="俵俽 柧挬" w:hint="eastAsia"/>
          <w:color w:val="000000"/>
        </w:rPr>
        <w:t>平成二十二年文部科学省令第十三号</w:t>
      </w:r>
      <w:r>
        <w:rPr>
          <w:rFonts w:ascii="Century" w:eastAsia="俵俽 柧挬" w:hAnsi="俵俽 柧挬" w:cs="俵俽 柧挬"/>
          <w:color w:val="000000"/>
        </w:rPr>
        <w:t>)</w:t>
      </w:r>
      <w:r>
        <w:rPr>
          <w:rFonts w:ascii="Century" w:eastAsia="俵俽 柧挬" w:hAnsi="俵俽 柧挬" w:cs="俵俽 柧挬" w:hint="eastAsia"/>
          <w:color w:val="000000"/>
        </w:rPr>
        <w:t>第一条第一項第四</w:t>
      </w:r>
      <w:r>
        <w:rPr>
          <w:rFonts w:ascii="Century" w:eastAsia="俵俽 柧挬" w:hAnsi="俵俽 柧挬" w:cs="俵俽 柧挬" w:hint="eastAsia"/>
          <w:color w:val="000000"/>
        </w:rPr>
        <w:t>号に掲げるものその他二十歳未満の者が主として利用するものに限る。</w:t>
      </w:r>
      <w:r>
        <w:rPr>
          <w:rFonts w:ascii="Century" w:eastAsia="俵俽 柧挬" w:hAnsi="俵俽 柧挬" w:cs="俵俽 柧挬"/>
          <w:color w:val="000000"/>
        </w:rPr>
        <w:t>)</w:t>
      </w:r>
    </w:p>
    <w:p w:rsidR="00000000" w:rsidRDefault="004C4F2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児童福祉法</w:t>
      </w:r>
      <w:r>
        <w:rPr>
          <w:rFonts w:ascii="Century" w:eastAsia="俵俽 柧挬" w:hAnsi="俵俽 柧挬" w:cs="俵俽 柧挬"/>
          <w:color w:val="000000"/>
        </w:rPr>
        <w:t>(</w:t>
      </w:r>
      <w:r>
        <w:rPr>
          <w:rFonts w:ascii="Century" w:eastAsia="俵俽 柧挬" w:hAnsi="俵俽 柧挬" w:cs="俵俽 柧挬" w:hint="eastAsia"/>
          <w:color w:val="000000"/>
        </w:rPr>
        <w:t>昭和二十二年法律第百六十四号</w:t>
      </w:r>
      <w:r>
        <w:rPr>
          <w:rFonts w:ascii="Century" w:eastAsia="俵俽 柧挬" w:hAnsi="俵俽 柧挬" w:cs="俵俽 柧挬"/>
          <w:color w:val="000000"/>
        </w:rPr>
        <w:t>)</w:t>
      </w:r>
      <w:r>
        <w:rPr>
          <w:rFonts w:ascii="Century" w:eastAsia="俵俽 柧挬" w:hAnsi="俵俽 柧挬" w:cs="俵俽 柧挬" w:hint="eastAsia"/>
          <w:color w:val="000000"/>
        </w:rPr>
        <w:t>第六条の三第九項に規定する家庭的保育事業、同条第十項に規定する小規模保育事業及び同条第十二項に規定する事業所内保育事業の用に供する施設並びに同法第五十九条第一項に規定する施設</w:t>
      </w:r>
      <w:r>
        <w:rPr>
          <w:rFonts w:ascii="Century" w:eastAsia="俵俽 柧挬" w:hAnsi="俵俽 柧挬" w:cs="俵俽 柧挬"/>
          <w:color w:val="000000"/>
        </w:rPr>
        <w:t>(</w:t>
      </w:r>
      <w:r>
        <w:rPr>
          <w:rFonts w:ascii="Century" w:eastAsia="俵俽 柧挬" w:hAnsi="俵俽 柧挬" w:cs="俵俽 柧挬" w:hint="eastAsia"/>
          <w:color w:val="000000"/>
        </w:rPr>
        <w:t>同法第六条の三第九項、第十項及び第十二項並びに同法第三十九条に規定する業務を目的とするものに限る。</w:t>
      </w:r>
      <w:r>
        <w:rPr>
          <w:rFonts w:ascii="Century" w:eastAsia="俵俽 柧挬" w:hAnsi="俵俽 柧挬" w:cs="俵俽 柧挬"/>
          <w:color w:val="000000"/>
        </w:rPr>
        <w:t>)</w:t>
      </w:r>
    </w:p>
    <w:p w:rsidR="00000000" w:rsidRDefault="004C4F2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四　就学前の子供に関する教育、保育等の総合的な提供の推進に関する法律</w:t>
      </w:r>
      <w:r>
        <w:rPr>
          <w:rFonts w:ascii="Century" w:eastAsia="俵俽 柧挬" w:hAnsi="俵俽 柧挬" w:cs="俵俽 柧挬"/>
          <w:color w:val="000000"/>
        </w:rPr>
        <w:t>(</w:t>
      </w:r>
      <w:r>
        <w:rPr>
          <w:rFonts w:ascii="Century" w:eastAsia="俵俽 柧挬" w:hAnsi="俵俽 柧挬" w:cs="俵俽 柧挬" w:hint="eastAsia"/>
          <w:color w:val="000000"/>
        </w:rPr>
        <w:t>平成十八年法律第七十七号</w:t>
      </w:r>
      <w:r>
        <w:rPr>
          <w:rFonts w:ascii="Century" w:eastAsia="俵俽 柧挬" w:hAnsi="俵俽 柧挬" w:cs="俵俽 柧挬"/>
          <w:color w:val="000000"/>
        </w:rPr>
        <w:t>)</w:t>
      </w:r>
      <w:r>
        <w:rPr>
          <w:rFonts w:ascii="Century" w:eastAsia="俵俽 柧挬" w:hAnsi="俵俽 柧挬" w:cs="俵俽 柧挬" w:hint="eastAsia"/>
          <w:color w:val="000000"/>
        </w:rPr>
        <w:t>第二条第六項に規定する認</w:t>
      </w:r>
      <w:r>
        <w:rPr>
          <w:rFonts w:ascii="Century" w:eastAsia="俵俽 柧挬" w:hAnsi="俵俽 柧挬" w:cs="俵俽 柧挬" w:hint="eastAsia"/>
          <w:color w:val="000000"/>
        </w:rPr>
        <w:t>定こども園</w:t>
      </w:r>
    </w:p>
    <w:p w:rsidR="00000000" w:rsidRDefault="004C4F2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令元規則一五</w:t>
      </w:r>
      <w:r>
        <w:rPr>
          <w:rFonts w:ascii="MS Mincho" w:eastAsia="MS Mincho" w:hAnsi="MS Mincho" w:cs="MS Mincho" w:hint="eastAsia"/>
          <w:color w:val="000000"/>
        </w:rPr>
        <w:t>・</w:t>
      </w:r>
      <w:r>
        <w:rPr>
          <w:rFonts w:ascii="等线" w:eastAsia="等线" w:hAnsi="等线" w:cs="等线" w:hint="eastAsia"/>
          <w:color w:val="000000"/>
        </w:rPr>
        <w:t>追加</w:t>
      </w:r>
      <w:r>
        <w:rPr>
          <w:rFonts w:ascii="Century" w:eastAsia="俵俽 柧挬" w:hAnsi="俵俽 柧挬" w:cs="俵俽 柧挬"/>
          <w:color w:val="000000"/>
        </w:rPr>
        <w:t>)</w:t>
      </w:r>
    </w:p>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職員の身分を証す証票</w:t>
      </w:r>
      <w:r>
        <w:rPr>
          <w:rFonts w:ascii="Century" w:eastAsia="俵俽 柧挬" w:hAnsi="俵俽 柧挬" w:cs="俵俽 柧挬"/>
          <w:color w:val="000000"/>
        </w:rPr>
        <w:t>)</w:t>
      </w:r>
    </w:p>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第六条　条例第十二条第二項に規定する職員の身分を示す証明書は、別記第二号様式による。</w:t>
      </w:r>
    </w:p>
    <w:p w:rsidR="00000000" w:rsidRDefault="004C4F2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令元規則一五</w:t>
      </w:r>
      <w:r>
        <w:rPr>
          <w:rFonts w:ascii="MS Mincho" w:eastAsia="MS Mincho" w:hAnsi="MS Mincho" w:cs="MS Mincho" w:hint="eastAsia"/>
          <w:color w:val="000000"/>
        </w:rPr>
        <w:t>・</w:t>
      </w:r>
      <w:r>
        <w:rPr>
          <w:rFonts w:ascii="等线" w:eastAsia="等线" w:hAnsi="等线" w:cs="等线" w:hint="eastAsia"/>
          <w:color w:val="000000"/>
        </w:rPr>
        <w:t>旧第十四条繰上</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4C4F2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p>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施行期日等</w:t>
      </w:r>
      <w:r>
        <w:rPr>
          <w:rFonts w:ascii="Century" w:eastAsia="俵俽 柧挬" w:hAnsi="俵俽 柧挬" w:cs="俵俽 柧挬"/>
          <w:color w:val="000000"/>
        </w:rPr>
        <w:t>)</w:t>
      </w:r>
    </w:p>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この規則は、令和二年四月一日から施行する。ただし、次の各号に掲げる規定は、当該各号に定める日から施行する。</w:t>
      </w:r>
    </w:p>
    <w:p w:rsidR="00000000" w:rsidRDefault="004C4F2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附則第六条の規定　公布の日</w:t>
      </w:r>
    </w:p>
    <w:p w:rsidR="00000000" w:rsidRDefault="004C4F2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第一条、第二条、第四条、第五条及び次条の規定　令和元年九月一日</w:t>
      </w:r>
    </w:p>
    <w:p w:rsidR="00000000" w:rsidRDefault="004C4F2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令元規則一五</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前条第二号の施行の日からこの規則の施行の日の</w:t>
      </w:r>
      <w:r>
        <w:rPr>
          <w:rFonts w:ascii="Century" w:eastAsia="俵俽 柧挬" w:hAnsi="俵俽 柧挬" w:cs="俵俽 柧挬" w:hint="eastAsia"/>
          <w:color w:val="000000"/>
        </w:rPr>
        <w:t>前日までの間</w:t>
      </w:r>
      <w:r>
        <w:rPr>
          <w:rFonts w:ascii="Century" w:eastAsia="俵俽 柧挬" w:hAnsi="俵俽 柧挬" w:cs="俵俽 柧挬"/>
          <w:color w:val="000000"/>
        </w:rPr>
        <w:t>(</w:t>
      </w:r>
      <w:r>
        <w:rPr>
          <w:rFonts w:ascii="Century" w:eastAsia="俵俽 柧挬" w:hAnsi="俵俽 柧挬" w:cs="俵俽 柧挬" w:hint="eastAsia"/>
          <w:color w:val="000000"/>
        </w:rPr>
        <w:t>以下この条において「特定期間」という。</w:t>
      </w:r>
      <w:r>
        <w:rPr>
          <w:rFonts w:ascii="Century" w:eastAsia="俵俽 柧挬" w:hAnsi="俵俽 柧挬" w:cs="俵俽 柧挬"/>
          <w:color w:val="000000"/>
        </w:rPr>
        <w:t>)</w:t>
      </w:r>
      <w:r>
        <w:rPr>
          <w:rFonts w:ascii="Century" w:eastAsia="俵俽 柧挬" w:hAnsi="俵俽 柧挬" w:cs="俵俽 柧挬" w:hint="eastAsia"/>
          <w:color w:val="000000"/>
        </w:rPr>
        <w:t>における次の表の上欄に掲げる規定中同表の中欄に掲げる字句は、それぞれ同表の下欄に掲げる字句とする。</w:t>
      </w:r>
    </w:p>
    <w:tbl>
      <w:tblPr>
        <w:tblW w:w="0" w:type="auto"/>
        <w:tblInd w:w="299" w:type="dxa"/>
        <w:tblLayout w:type="fixed"/>
        <w:tblCellMar>
          <w:left w:w="0" w:type="dxa"/>
          <w:right w:w="0" w:type="dxa"/>
        </w:tblCellMar>
        <w:tblLook w:val="0000" w:firstRow="0" w:lastRow="0" w:firstColumn="0" w:lastColumn="0" w:noHBand="0" w:noVBand="0"/>
      </w:tblPr>
      <w:tblGrid>
        <w:gridCol w:w="2491"/>
        <w:gridCol w:w="2491"/>
        <w:gridCol w:w="3321"/>
      </w:tblGrid>
      <w:tr w:rsidR="00000000">
        <w:tblPrEx>
          <w:tblCellMar>
            <w:top w:w="0" w:type="dxa"/>
            <w:left w:w="0" w:type="dxa"/>
            <w:bottom w:w="0" w:type="dxa"/>
            <w:right w:w="0" w:type="dxa"/>
          </w:tblCellMar>
        </w:tblPrEx>
        <w:tc>
          <w:tcPr>
            <w:tcW w:w="2491"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第四条の見出し</w:t>
            </w:r>
          </w:p>
        </w:tc>
        <w:tc>
          <w:tcPr>
            <w:tcW w:w="2491" w:type="dxa"/>
            <w:tcBorders>
              <w:top w:val="single" w:sz="4" w:space="0" w:color="000000"/>
              <w:left w:val="nil"/>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標識</w:t>
            </w:r>
          </w:p>
        </w:tc>
        <w:tc>
          <w:tcPr>
            <w:tcW w:w="3321" w:type="dxa"/>
            <w:tcBorders>
              <w:top w:val="single" w:sz="4" w:space="0" w:color="000000"/>
              <w:left w:val="nil"/>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喫煙をすることができる場所の有無に関する標識</w:t>
            </w:r>
          </w:p>
        </w:tc>
      </w:tr>
      <w:tr w:rsidR="00000000">
        <w:tblPrEx>
          <w:tblCellMar>
            <w:top w:w="0" w:type="dxa"/>
            <w:left w:w="0" w:type="dxa"/>
            <w:bottom w:w="0" w:type="dxa"/>
            <w:right w:w="0" w:type="dxa"/>
          </w:tblCellMar>
        </w:tblPrEx>
        <w:tc>
          <w:tcPr>
            <w:tcW w:w="2491" w:type="dxa"/>
            <w:vMerge w:val="restart"/>
            <w:tcBorders>
              <w:top w:val="nil"/>
              <w:left w:val="single" w:sz="4" w:space="0" w:color="000000"/>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第四条</w:t>
            </w:r>
          </w:p>
        </w:tc>
        <w:tc>
          <w:tcPr>
            <w:tcW w:w="2491" w:type="dxa"/>
            <w:tcBorders>
              <w:top w:val="nil"/>
              <w:left w:val="nil"/>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第九条第三項</w:t>
            </w:r>
          </w:p>
        </w:tc>
        <w:tc>
          <w:tcPr>
            <w:tcW w:w="3321" w:type="dxa"/>
            <w:tcBorders>
              <w:top w:val="nil"/>
              <w:left w:val="nil"/>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第九条第一項</w:t>
            </w:r>
          </w:p>
        </w:tc>
      </w:tr>
      <w:tr w:rsidR="00000000">
        <w:tblPrEx>
          <w:tblCellMar>
            <w:top w:w="0" w:type="dxa"/>
            <w:left w:w="0" w:type="dxa"/>
            <w:bottom w:w="0" w:type="dxa"/>
            <w:right w:w="0" w:type="dxa"/>
          </w:tblCellMar>
        </w:tblPrEx>
        <w:tc>
          <w:tcPr>
            <w:tcW w:w="2491"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4C4F2C">
            <w:pPr>
              <w:rPr>
                <w:sz w:val="24"/>
                <w:szCs w:val="24"/>
              </w:rPr>
            </w:pPr>
          </w:p>
        </w:tc>
        <w:tc>
          <w:tcPr>
            <w:tcW w:w="2491" w:type="dxa"/>
            <w:tcBorders>
              <w:top w:val="nil"/>
              <w:left w:val="nil"/>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場所に</w:t>
            </w:r>
          </w:p>
        </w:tc>
        <w:tc>
          <w:tcPr>
            <w:tcW w:w="3321" w:type="dxa"/>
            <w:tcBorders>
              <w:top w:val="nil"/>
              <w:left w:val="nil"/>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場所における</w:t>
            </w:r>
          </w:p>
        </w:tc>
      </w:tr>
      <w:tr w:rsidR="00000000">
        <w:tblPrEx>
          <w:tblCellMar>
            <w:top w:w="0" w:type="dxa"/>
            <w:left w:w="0" w:type="dxa"/>
            <w:bottom w:w="0" w:type="dxa"/>
            <w:right w:w="0" w:type="dxa"/>
          </w:tblCellMar>
        </w:tblPrEx>
        <w:tc>
          <w:tcPr>
            <w:tcW w:w="2491" w:type="dxa"/>
            <w:vMerge/>
            <w:tcBorders>
              <w:top w:val="nil"/>
              <w:left w:val="single" w:sz="4" w:space="0" w:color="000000"/>
              <w:bottom w:val="single" w:sz="4" w:space="0" w:color="000000"/>
              <w:right w:val="single" w:sz="4" w:space="0" w:color="000000"/>
            </w:tcBorders>
            <w:tcMar>
              <w:left w:w="102" w:type="dxa"/>
              <w:right w:w="102" w:type="dxa"/>
            </w:tcMar>
          </w:tcPr>
          <w:p w:rsidR="00000000" w:rsidRDefault="004C4F2C">
            <w:pPr>
              <w:rPr>
                <w:sz w:val="24"/>
                <w:szCs w:val="24"/>
              </w:rPr>
            </w:pPr>
          </w:p>
        </w:tc>
        <w:tc>
          <w:tcPr>
            <w:tcW w:w="2491" w:type="dxa"/>
            <w:tcBorders>
              <w:top w:val="nil"/>
              <w:left w:val="nil"/>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がない旨</w:t>
            </w:r>
          </w:p>
        </w:tc>
        <w:tc>
          <w:tcPr>
            <w:tcW w:w="3321" w:type="dxa"/>
            <w:tcBorders>
              <w:top w:val="nil"/>
              <w:left w:val="nil"/>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の有無</w:t>
            </w:r>
          </w:p>
        </w:tc>
      </w:tr>
      <w:tr w:rsidR="00000000">
        <w:tblPrEx>
          <w:tblCellMar>
            <w:top w:w="0" w:type="dxa"/>
            <w:left w:w="0" w:type="dxa"/>
            <w:bottom w:w="0" w:type="dxa"/>
            <w:right w:w="0" w:type="dxa"/>
          </w:tblCellMar>
        </w:tblPrEx>
        <w:tc>
          <w:tcPr>
            <w:tcW w:w="2491" w:type="dxa"/>
            <w:tcBorders>
              <w:top w:val="nil"/>
              <w:left w:val="single" w:sz="4" w:space="0" w:color="000000"/>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第五条</w:t>
            </w:r>
          </w:p>
        </w:tc>
        <w:tc>
          <w:tcPr>
            <w:tcW w:w="2491" w:type="dxa"/>
            <w:tcBorders>
              <w:top w:val="nil"/>
              <w:left w:val="nil"/>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第九条第四項</w:t>
            </w:r>
          </w:p>
        </w:tc>
        <w:tc>
          <w:tcPr>
            <w:tcW w:w="3321" w:type="dxa"/>
            <w:tcBorders>
              <w:top w:val="nil"/>
              <w:left w:val="nil"/>
              <w:bottom w:val="single" w:sz="4" w:space="0" w:color="000000"/>
              <w:right w:val="single" w:sz="4" w:space="0" w:color="000000"/>
            </w:tcBorders>
            <w:tcMar>
              <w:left w:w="102" w:type="dxa"/>
              <w:right w:w="102" w:type="dxa"/>
            </w:tcMar>
          </w:tcPr>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第九条第二項</w:t>
            </w:r>
          </w:p>
        </w:tc>
      </w:tr>
    </w:tbl>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特定期間における条例第九条第一項に規定する規則で定める要件は、次の各号のいずれかに該当することとする。</w:t>
      </w:r>
    </w:p>
    <w:p w:rsidR="00000000" w:rsidRDefault="004C4F2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施設の屋内の場所の全部の場所を専ら喫煙をする場所とす</w:t>
      </w:r>
      <w:r>
        <w:rPr>
          <w:rFonts w:ascii="Century" w:eastAsia="俵俽 柧挬" w:hAnsi="俵俽 柧挬" w:cs="俵俽 柧挬" w:hint="eastAsia"/>
          <w:color w:val="000000"/>
        </w:rPr>
        <w:t>るものであること。</w:t>
      </w:r>
    </w:p>
    <w:p w:rsidR="00000000" w:rsidRDefault="004C4F2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施設を利用する者に対して、たばこを販売する者によって、対面によりたばこを販売し、当該施設の屋内の場所において喫煙をする場所を提供することを主たる目的とし、併せて設備を設けて客に飲食をさせる営業</w:t>
      </w:r>
      <w:r>
        <w:rPr>
          <w:rFonts w:ascii="Century" w:eastAsia="俵俽 柧挬" w:hAnsi="俵俽 柧挬" w:cs="俵俽 柧挬"/>
          <w:color w:val="000000"/>
        </w:rPr>
        <w:t>(</w:t>
      </w:r>
      <w:r>
        <w:rPr>
          <w:rFonts w:ascii="Century" w:eastAsia="俵俽 柧挬" w:hAnsi="俵俽 柧挬" w:cs="俵俽 柧挬" w:hint="eastAsia"/>
          <w:color w:val="000000"/>
        </w:rPr>
        <w:t>通常主食と認められる食事を主として提供するものを除く。</w:t>
      </w:r>
      <w:r>
        <w:rPr>
          <w:rFonts w:ascii="Century" w:eastAsia="俵俽 柧挬" w:hAnsi="俵俽 柧挬" w:cs="俵俽 柧挬"/>
          <w:color w:val="000000"/>
        </w:rPr>
        <w:t>)</w:t>
      </w:r>
      <w:r>
        <w:rPr>
          <w:rFonts w:ascii="Century" w:eastAsia="俵俽 柧挬" w:hAnsi="俵俽 柧挬" w:cs="俵俽 柧挬" w:hint="eastAsia"/>
          <w:color w:val="000000"/>
        </w:rPr>
        <w:t>を行うものであること。</w:t>
      </w:r>
    </w:p>
    <w:p w:rsidR="00000000" w:rsidRDefault="004C4F2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施設を利用する者に対して、たばこ又は専ら喫煙の用に供するための器具の販売</w:t>
      </w:r>
      <w:r>
        <w:rPr>
          <w:rFonts w:ascii="Century" w:eastAsia="俵俽 柧挬" w:hAnsi="俵俽 柧挬" w:cs="俵俽 柧挬"/>
          <w:color w:val="000000"/>
        </w:rPr>
        <w:t>(</w:t>
      </w:r>
      <w:r>
        <w:rPr>
          <w:rFonts w:ascii="Century" w:eastAsia="俵俽 柧挬" w:hAnsi="俵俽 柧挬" w:cs="俵俽 柧挬" w:hint="eastAsia"/>
          <w:color w:val="000000"/>
        </w:rPr>
        <w:t>たばこの販売にあっては、たばこを販売する者によって、対面により販売している場合に限る。</w:t>
      </w:r>
      <w:r>
        <w:rPr>
          <w:rFonts w:ascii="Century" w:eastAsia="俵俽 柧挬" w:hAnsi="俵俽 柧挬" w:cs="俵俽 柧挬"/>
          <w:color w:val="000000"/>
        </w:rPr>
        <w:t>)</w:t>
      </w:r>
      <w:r>
        <w:rPr>
          <w:rFonts w:ascii="Century" w:eastAsia="俵俽 柧挬" w:hAnsi="俵俽 柧挬" w:cs="俵俽 柧挬" w:hint="eastAsia"/>
          <w:color w:val="000000"/>
        </w:rPr>
        <w:t>をし、当該施設の屋内の場所において喫煙をする場所</w:t>
      </w:r>
      <w:r>
        <w:rPr>
          <w:rFonts w:ascii="Century" w:eastAsia="俵俽 柧挬" w:hAnsi="俵俽 柧挬" w:cs="俵俽 柧挬" w:hint="eastAsia"/>
          <w:color w:val="000000"/>
        </w:rPr>
        <w:t>を提供することを主たる目的とするものであること</w:t>
      </w:r>
      <w:r>
        <w:rPr>
          <w:rFonts w:ascii="Century" w:eastAsia="俵俽 柧挬" w:hAnsi="俵俽 柧挬" w:cs="俵俽 柧挬"/>
          <w:color w:val="000000"/>
        </w:rPr>
        <w:t>(</w:t>
      </w:r>
      <w:r>
        <w:rPr>
          <w:rFonts w:ascii="Century" w:eastAsia="俵俽 柧挬" w:hAnsi="俵俽 柧挬" w:cs="俵俽 柧挬" w:hint="eastAsia"/>
          <w:color w:val="000000"/>
        </w:rPr>
        <w:t>設備を設けて客に飲食をさせる営業を行うものを除く。</w:t>
      </w:r>
      <w:r>
        <w:rPr>
          <w:rFonts w:ascii="Century" w:eastAsia="俵俽 柧挬" w:hAnsi="俵俽 柧挬" w:cs="俵俽 柧挬"/>
          <w:color w:val="000000"/>
        </w:rPr>
        <w:t>)</w:t>
      </w:r>
      <w:r>
        <w:rPr>
          <w:rFonts w:ascii="Century" w:eastAsia="俵俽 柧挬" w:hAnsi="俵俽 柧挬" w:cs="俵俽 柧挬" w:hint="eastAsia"/>
          <w:color w:val="000000"/>
        </w:rPr>
        <w:t>。</w:t>
      </w:r>
    </w:p>
    <w:p w:rsidR="00000000" w:rsidRDefault="004C4F2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lastRenderedPageBreak/>
        <w:t>(</w:t>
      </w:r>
      <w:r>
        <w:rPr>
          <w:rFonts w:ascii="Century" w:eastAsia="俵俽 柧挬" w:hAnsi="俵俽 柧挬" w:cs="俵俽 柧挬" w:hint="eastAsia"/>
          <w:color w:val="000000"/>
        </w:rPr>
        <w:t>令元規則一五</w:t>
      </w:r>
      <w:r>
        <w:rPr>
          <w:rFonts w:ascii="MS Mincho" w:eastAsia="MS Mincho" w:hAnsi="MS Mincho" w:cs="MS Mincho" w:hint="eastAsia"/>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000000" w:rsidRDefault="004C4F2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準備行為</w:t>
      </w:r>
      <w:r>
        <w:rPr>
          <w:rFonts w:ascii="Century" w:eastAsia="俵俽 柧挬" w:hAnsi="俵俽 柧挬" w:cs="俵俽 柧挬"/>
          <w:color w:val="000000"/>
        </w:rPr>
        <w:t>)</w:t>
      </w:r>
    </w:p>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第三条第一項の届出は、この規則の施行前においても行うことができる。</w:t>
      </w:r>
    </w:p>
    <w:p w:rsidR="00000000" w:rsidRDefault="004C4F2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令元規則一五</w:t>
      </w:r>
      <w:r>
        <w:rPr>
          <w:rFonts w:ascii="MS Mincho" w:eastAsia="MS Mincho" w:hAnsi="MS Mincho" w:cs="MS Mincho" w:hint="eastAsia"/>
          <w:color w:val="000000"/>
        </w:rPr>
        <w:t>・</w:t>
      </w:r>
      <w:r>
        <w:rPr>
          <w:rFonts w:ascii="等线" w:eastAsia="等线" w:hAnsi="等线" w:cs="等线" w:hint="eastAsia"/>
          <w:color w:val="000000"/>
        </w:rPr>
        <w:t>旧第六条繰上</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4C4F2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令和元年規則第一五号</w:t>
      </w:r>
      <w:r>
        <w:rPr>
          <w:rFonts w:ascii="Century" w:eastAsia="俵俽 柧挬" w:hAnsi="俵俽 柧挬" w:cs="俵俽 柧挬"/>
          <w:color w:val="000000"/>
        </w:rPr>
        <w:t>)</w:t>
      </w:r>
    </w:p>
    <w:p w:rsidR="00000000" w:rsidRDefault="004C4F2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4C4F2C">
      <w:pPr>
        <w:rPr>
          <w:sz w:val="24"/>
          <w:szCs w:val="24"/>
        </w:rPr>
        <w:sectPr w:rsidR="00000000">
          <w:pgSz w:w="11905" w:h="16837"/>
          <w:pgMar w:top="1984" w:right="1700" w:bottom="1700" w:left="1700" w:header="720" w:footer="720" w:gutter="0"/>
          <w:cols w:space="720"/>
          <w:noEndnote/>
          <w:docGrid w:type="linesAndChars" w:linePitch="365" w:charSpace="409"/>
        </w:sectPr>
      </w:pPr>
    </w:p>
    <w:p w:rsidR="00000000" w:rsidRDefault="00CA00CF">
      <w:pPr>
        <w:spacing w:line="350" w:lineRule="atLeast"/>
        <w:jc w:val="center"/>
        <w:rPr>
          <w:rFonts w:ascii="Century" w:eastAsia="俵俽 柧挬" w:hAnsi="俵俽 柧挬" w:cs="俵俽 柧挬"/>
          <w:color w:val="000000"/>
        </w:rPr>
      </w:pPr>
      <w:r>
        <w:rPr>
          <w:rFonts w:ascii="Century" w:eastAsia="俵俽 柧挬" w:hAnsi="俵俽 柧挬" w:cs="俵俽 柧挬" w:hint="eastAsia"/>
          <w:noProof/>
          <w:color w:val="000000"/>
        </w:rPr>
        <w:lastRenderedPageBreak/>
        <w:drawing>
          <wp:inline distT="0" distB="0" distL="0" distR="0">
            <wp:extent cx="5372100" cy="780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4C4F2C">
      <w:pPr>
        <w:rPr>
          <w:sz w:val="24"/>
          <w:szCs w:val="24"/>
        </w:rPr>
        <w:sectPr w:rsidR="00000000">
          <w:pgSz w:w="11905" w:h="16837"/>
          <w:pgMar w:top="1984" w:right="1700" w:bottom="1700" w:left="1700" w:header="720" w:footer="720" w:gutter="0"/>
          <w:cols w:space="720"/>
          <w:noEndnote/>
          <w:docGrid w:type="linesAndChars" w:linePitch="365" w:charSpace="409"/>
        </w:sectPr>
      </w:pPr>
    </w:p>
    <w:p w:rsidR="00000000" w:rsidRDefault="00CA00CF">
      <w:pPr>
        <w:spacing w:line="350" w:lineRule="atLeast"/>
        <w:jc w:val="center"/>
        <w:rPr>
          <w:rFonts w:ascii="Century" w:eastAsia="俵俽 柧挬" w:hAnsi="俵俽 柧挬" w:cs="俵俽 柧挬"/>
          <w:color w:val="000000"/>
        </w:rPr>
      </w:pPr>
      <w:r>
        <w:rPr>
          <w:rFonts w:ascii="Century" w:eastAsia="俵俽 柧挬" w:hAnsi="俵俽 柧挬" w:cs="俵俽 柧挬" w:hint="eastAsia"/>
          <w:noProof/>
          <w:color w:val="000000"/>
        </w:rPr>
        <w:lastRenderedPageBreak/>
        <w:drawing>
          <wp:inline distT="0" distB="0" distL="0" distR="0">
            <wp:extent cx="5372100" cy="7800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4C4F2C">
      <w:pPr>
        <w:rPr>
          <w:sz w:val="24"/>
          <w:szCs w:val="24"/>
        </w:rPr>
        <w:sectPr w:rsidR="00000000">
          <w:pgSz w:w="11905" w:h="16837"/>
          <w:pgMar w:top="1984" w:right="1700" w:bottom="1700" w:left="1700" w:header="720" w:footer="720" w:gutter="0"/>
          <w:cols w:space="720"/>
          <w:noEndnote/>
          <w:docGrid w:type="linesAndChars" w:linePitch="365" w:charSpace="409"/>
        </w:sectPr>
      </w:pPr>
    </w:p>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別記第</w:t>
      </w:r>
      <w:r>
        <w:rPr>
          <w:rFonts w:ascii="Century" w:eastAsia="俵俽 柧挬" w:hAnsi="俵俽 柧挬" w:cs="俵俽 柧挬"/>
          <w:color w:val="000000"/>
        </w:rPr>
        <w:t>1</w:t>
      </w:r>
      <w:r>
        <w:rPr>
          <w:rFonts w:ascii="Century" w:eastAsia="俵俽 柧挬" w:hAnsi="俵俽 柧挬" w:cs="俵俽 柧挬" w:hint="eastAsia"/>
          <w:color w:val="000000"/>
        </w:rPr>
        <w:t>号様式</w:t>
      </w:r>
      <w:r>
        <w:rPr>
          <w:rFonts w:ascii="Century" w:eastAsia="俵俽 柧挬" w:hAnsi="俵俽 柧挬" w:cs="俵俽 柧挬"/>
          <w:color w:val="000000"/>
        </w:rPr>
        <w:t>(</w:t>
      </w:r>
      <w:r>
        <w:rPr>
          <w:rFonts w:ascii="Century" w:eastAsia="俵俽 柧挬" w:hAnsi="俵俽 柧挬" w:cs="俵俽 柧挬" w:hint="eastAsia"/>
          <w:color w:val="000000"/>
        </w:rPr>
        <w:t>第</w:t>
      </w:r>
      <w:r>
        <w:rPr>
          <w:rFonts w:ascii="Century" w:eastAsia="俵俽 柧挬" w:hAnsi="俵俽 柧挬" w:cs="俵俽 柧挬"/>
          <w:color w:val="000000"/>
        </w:rPr>
        <w:t>3</w:t>
      </w:r>
      <w:r>
        <w:rPr>
          <w:rFonts w:ascii="Century" w:eastAsia="俵俽 柧挬" w:hAnsi="俵俽 柧挬" w:cs="俵俽 柧挬" w:hint="eastAsia"/>
          <w:color w:val="000000"/>
        </w:rPr>
        <w:t>条第</w:t>
      </w:r>
      <w:r>
        <w:rPr>
          <w:rFonts w:ascii="Century" w:eastAsia="俵俽 柧挬" w:hAnsi="俵俽 柧挬" w:cs="俵俽 柧挬"/>
          <w:color w:val="000000"/>
        </w:rPr>
        <w:t>1</w:t>
      </w:r>
      <w:r>
        <w:rPr>
          <w:rFonts w:ascii="Century" w:eastAsia="俵俽 柧挬" w:hAnsi="俵俽 柧挬" w:cs="俵俽 柧挬" w:hint="eastAsia"/>
          <w:color w:val="000000"/>
        </w:rPr>
        <w:t>項関係</w:t>
      </w:r>
      <w:r>
        <w:rPr>
          <w:rFonts w:ascii="Century" w:eastAsia="俵俽 柧挬" w:hAnsi="俵俽 柧挬" w:cs="俵俽 柧挬"/>
          <w:color w:val="000000"/>
        </w:rPr>
        <w:t>)</w:t>
      </w:r>
    </w:p>
    <w:p w:rsidR="00000000" w:rsidRDefault="004C4F2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令元規則</w:t>
      </w:r>
      <w:r>
        <w:rPr>
          <w:rFonts w:ascii="Century" w:eastAsia="俵俽 柧挬" w:hAnsi="俵俽 柧挬" w:cs="俵俽 柧挬"/>
          <w:color w:val="000000"/>
        </w:rPr>
        <w:t>15</w:t>
      </w:r>
      <w:r>
        <w:rPr>
          <w:rFonts w:ascii="MS Mincho" w:eastAsia="俵俽 柧挬" w:hAnsi="MS Mincho" w:cs="MS Mincho"/>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000000" w:rsidRDefault="004C4F2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w:t>
      </w:r>
      <w:r>
        <w:rPr>
          <w:rFonts w:ascii="Century" w:eastAsia="俵俽 柧挬" w:hAnsi="俵俽 柧挬" w:cs="俵俽 柧挬"/>
          <w:color w:val="000000"/>
        </w:rPr>
        <w:t>2</w:t>
      </w:r>
      <w:r>
        <w:rPr>
          <w:rFonts w:ascii="Century" w:eastAsia="俵俽 柧挬" w:hAnsi="俵俽 柧挬" w:cs="俵俽 柧挬" w:hint="eastAsia"/>
          <w:color w:val="000000"/>
        </w:rPr>
        <w:t>号様式</w:t>
      </w:r>
      <w:r>
        <w:rPr>
          <w:rFonts w:ascii="Century" w:eastAsia="俵俽 柧挬" w:hAnsi="俵俽 柧挬" w:cs="俵俽 柧挬"/>
          <w:color w:val="000000"/>
        </w:rPr>
        <w:t>(</w:t>
      </w:r>
      <w:r>
        <w:rPr>
          <w:rFonts w:ascii="Century" w:eastAsia="俵俽 柧挬" w:hAnsi="俵俽 柧挬" w:cs="俵俽 柧挬" w:hint="eastAsia"/>
          <w:color w:val="000000"/>
        </w:rPr>
        <w:t>第</w:t>
      </w:r>
      <w:r>
        <w:rPr>
          <w:rFonts w:ascii="Century" w:eastAsia="俵俽 柧挬" w:hAnsi="俵俽 柧挬" w:cs="俵俽 柧挬"/>
          <w:color w:val="000000"/>
        </w:rPr>
        <w:t>6</w:t>
      </w:r>
      <w:r>
        <w:rPr>
          <w:rFonts w:ascii="Century" w:eastAsia="俵俽 柧挬" w:hAnsi="俵俽 柧挬" w:cs="俵俽 柧挬" w:hint="eastAsia"/>
          <w:color w:val="000000"/>
        </w:rPr>
        <w:t>条関係</w:t>
      </w:r>
      <w:r>
        <w:rPr>
          <w:rFonts w:ascii="Century" w:eastAsia="俵俽 柧挬" w:hAnsi="俵俽 柧挬" w:cs="俵俽 柧挬"/>
          <w:color w:val="000000"/>
        </w:rPr>
        <w:t>)</w:t>
      </w:r>
    </w:p>
    <w:p w:rsidR="00000000" w:rsidRDefault="004C4F2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令元規則</w:t>
      </w:r>
      <w:r>
        <w:rPr>
          <w:rFonts w:ascii="Century" w:eastAsia="俵俽 柧挬" w:hAnsi="俵俽 柧挬" w:cs="俵俽 柧挬"/>
          <w:color w:val="000000"/>
        </w:rPr>
        <w:t>15</w:t>
      </w:r>
      <w:r>
        <w:rPr>
          <w:rFonts w:ascii="MS Mincho" w:eastAsia="俵俽 柧挬" w:hAnsi="MS Mincho" w:cs="MS Mincho"/>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4C4F2C" w:rsidRDefault="004C4F2C">
      <w:pPr>
        <w:spacing w:line="350" w:lineRule="atLeast"/>
        <w:rPr>
          <w:rFonts w:ascii="Century" w:eastAsia="俵俽 柧挬" w:hAnsi="俵俽 柧挬" w:cs="俵俽 柧挬"/>
          <w:color w:val="000000"/>
        </w:rPr>
      </w:pPr>
      <w:bookmarkStart w:id="1" w:name="last"/>
      <w:bookmarkEnd w:id="1"/>
    </w:p>
    <w:sectPr w:rsidR="004C4F2C">
      <w:pgSz w:w="11905" w:h="16837"/>
      <w:pgMar w:top="1984" w:right="1700" w:bottom="1700" w:left="1700" w:header="720" w:footer="720" w:gutter="0"/>
      <w:cols w:space="720"/>
      <w:noEndnote/>
      <w:docGrid w:type="linesAndChars" w:linePitch="36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CF"/>
    <w:rsid w:val="004C4F2C"/>
    <w:rsid w:val="00CA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A1ACEC-D953-4F7F-B251-AC2EE38A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2021-08-27T01:37:00Z</dcterms:created>
  <dcterms:modified xsi:type="dcterms:W3CDTF">2021-08-27T01:37:00Z</dcterms:modified>
</cp:coreProperties>
</file>